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楷体" w:hAnsi="楷体" w:eastAsia="楷体"/>
          <w:b/>
          <w:sz w:val="52"/>
          <w:szCs w:val="72"/>
        </w:rPr>
      </w:pPr>
    </w:p>
    <w:p>
      <w:pPr>
        <w:snapToGrid w:val="0"/>
        <w:jc w:val="center"/>
        <w:rPr>
          <w:rFonts w:ascii="楷体" w:hAnsi="楷体" w:eastAsia="楷体"/>
          <w:b/>
          <w:sz w:val="56"/>
          <w:szCs w:val="72"/>
        </w:rPr>
      </w:pPr>
      <w:r>
        <w:rPr>
          <w:rFonts w:hint="eastAsia" w:ascii="楷体" w:hAnsi="楷体" w:eastAsia="楷体"/>
          <w:b/>
          <w:sz w:val="56"/>
          <w:szCs w:val="72"/>
          <w:lang w:eastAsia="zh-CN"/>
        </w:rPr>
        <w:t>内蒙古华云新材料</w:t>
      </w:r>
      <w:r>
        <w:rPr>
          <w:rFonts w:hint="eastAsia" w:ascii="楷体" w:hAnsi="楷体" w:eastAsia="楷体"/>
          <w:b/>
          <w:sz w:val="56"/>
          <w:szCs w:val="72"/>
        </w:rPr>
        <w:t>公司</w:t>
      </w:r>
    </w:p>
    <w:p>
      <w:pPr>
        <w:snapToGrid w:val="0"/>
        <w:jc w:val="center"/>
        <w:rPr>
          <w:rFonts w:ascii="楷体" w:hAnsi="楷体" w:eastAsia="楷体"/>
          <w:b/>
          <w:sz w:val="56"/>
          <w:szCs w:val="72"/>
        </w:rPr>
      </w:pPr>
      <w:r>
        <w:rPr>
          <w:rFonts w:hint="eastAsia" w:ascii="楷体" w:hAnsi="楷体" w:eastAsia="楷体"/>
          <w:b/>
          <w:sz w:val="56"/>
          <w:szCs w:val="72"/>
        </w:rPr>
        <w:t>采购文件</w:t>
      </w:r>
    </w:p>
    <w:p>
      <w:pPr>
        <w:snapToGrid w:val="0"/>
        <w:spacing w:line="374" w:lineRule="atLeast"/>
      </w:pPr>
    </w:p>
    <w:p>
      <w:pPr>
        <w:snapToGrid w:val="0"/>
        <w:spacing w:line="374" w:lineRule="atLeast"/>
      </w:pPr>
    </w:p>
    <w:p>
      <w:pPr>
        <w:snapToGrid w:val="0"/>
        <w:spacing w:line="374" w:lineRule="atLeast"/>
      </w:pPr>
      <w:r>
        <w:t xml:space="preserve"> </w:t>
      </w:r>
      <w:r>
        <w:rPr>
          <w:rFonts w:hint="eastAsia"/>
        </w:rPr>
        <w:t xml:space="preserve">                          </w:t>
      </w:r>
      <w:r>
        <w:drawing>
          <wp:inline distT="0" distB="0" distL="0" distR="0">
            <wp:extent cx="1927225" cy="2384425"/>
            <wp:effectExtent l="19050" t="0" r="0" b="0"/>
            <wp:docPr id="2" name="图片 1" descr="中铝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中铝标识"/>
                    <pic:cNvPicPr>
                      <a:picLocks noChangeAspect="1" noChangeArrowheads="1"/>
                    </pic:cNvPicPr>
                  </pic:nvPicPr>
                  <pic:blipFill>
                    <a:blip r:embed="rId8" cstate="print"/>
                    <a:srcRect/>
                    <a:stretch>
                      <a:fillRect/>
                    </a:stretch>
                  </pic:blipFill>
                  <pic:spPr>
                    <a:xfrm>
                      <a:off x="0" y="0"/>
                      <a:ext cx="1927225" cy="2384425"/>
                    </a:xfrm>
                    <a:prstGeom prst="rect">
                      <a:avLst/>
                    </a:prstGeom>
                    <a:noFill/>
                    <a:ln w="9525">
                      <a:noFill/>
                      <a:miter lim="800000"/>
                      <a:headEnd/>
                      <a:tailEnd/>
                    </a:ln>
                  </pic:spPr>
                </pic:pic>
              </a:graphicData>
            </a:graphic>
          </wp:inline>
        </w:drawing>
      </w:r>
    </w:p>
    <w:p>
      <w:pPr>
        <w:spacing w:line="360" w:lineRule="auto"/>
        <w:ind w:firstLine="1280" w:firstLineChars="400"/>
        <w:rPr>
          <w:rFonts w:ascii="华文细黑" w:eastAsia="隶书"/>
          <w:sz w:val="32"/>
          <w:szCs w:val="32"/>
        </w:rPr>
      </w:pPr>
    </w:p>
    <w:p>
      <w:pPr>
        <w:spacing w:line="360" w:lineRule="auto"/>
        <w:ind w:firstLine="1280" w:firstLineChars="400"/>
        <w:rPr>
          <w:rFonts w:ascii="华文细黑" w:eastAsia="隶书"/>
          <w:sz w:val="32"/>
          <w:szCs w:val="32"/>
        </w:rPr>
      </w:pPr>
    </w:p>
    <w:p>
      <w:pPr>
        <w:spacing w:line="360" w:lineRule="auto"/>
        <w:ind w:firstLine="1280" w:firstLineChars="400"/>
        <w:rPr>
          <w:rFonts w:ascii="华文细黑" w:eastAsia="隶书"/>
          <w:sz w:val="32"/>
          <w:szCs w:val="32"/>
        </w:rPr>
      </w:pPr>
    </w:p>
    <w:p>
      <w:pPr>
        <w:spacing w:line="360" w:lineRule="auto"/>
        <w:ind w:firstLine="1280" w:firstLineChars="400"/>
        <w:rPr>
          <w:rFonts w:ascii="华文细黑" w:eastAsia="隶书"/>
          <w:sz w:val="32"/>
          <w:szCs w:val="32"/>
        </w:rPr>
      </w:pPr>
    </w:p>
    <w:p>
      <w:pPr>
        <w:spacing w:line="600" w:lineRule="exact"/>
        <w:ind w:left="1600" w:hanging="1600" w:hangingChars="500"/>
        <w:rPr>
          <w:rFonts w:hint="eastAsia" w:ascii="宋体" w:hAnsi="宋体" w:eastAsia="宋体" w:cs="宋体"/>
          <w:bCs/>
          <w:sz w:val="24"/>
          <w:szCs w:val="24"/>
        </w:rPr>
      </w:pPr>
      <w:r>
        <w:rPr>
          <w:rFonts w:hint="eastAsia" w:ascii="楷体" w:hAnsi="楷体" w:eastAsia="楷体"/>
          <w:sz w:val="32"/>
          <w:szCs w:val="32"/>
        </w:rPr>
        <w:t>项目名称：</w:t>
      </w:r>
      <w:r>
        <w:rPr>
          <w:rFonts w:hint="eastAsia" w:ascii="楷体" w:hAnsi="楷体" w:eastAsia="楷体" w:cs="楷体"/>
          <w:bCs/>
          <w:sz w:val="32"/>
          <w:szCs w:val="32"/>
          <w:u w:val="single"/>
          <w:lang w:eastAsia="zh-CN"/>
        </w:rPr>
        <w:t>内蒙古华云新材料有限公司</w:t>
      </w:r>
      <w:r>
        <w:rPr>
          <w:rFonts w:hint="eastAsia" w:ascii="楷体" w:hAnsi="楷体" w:eastAsia="楷体" w:cs="楷体"/>
          <w:bCs/>
          <w:sz w:val="32"/>
          <w:szCs w:val="32"/>
          <w:u w:val="single"/>
        </w:rPr>
        <w:t>作业场所职业病危害因素年度及日常检测</w:t>
      </w:r>
    </w:p>
    <w:p>
      <w:pPr>
        <w:spacing w:line="600" w:lineRule="exact"/>
        <w:ind w:left="1600" w:hanging="1600" w:hangingChars="500"/>
        <w:rPr>
          <w:rFonts w:hint="eastAsia" w:ascii="华文细黑" w:eastAsia="楷体"/>
          <w:sz w:val="32"/>
          <w:szCs w:val="32"/>
          <w:u w:val="single"/>
          <w:lang w:eastAsia="zh-CN"/>
        </w:rPr>
      </w:pPr>
      <w:r>
        <w:rPr>
          <w:rFonts w:hint="eastAsia" w:ascii="楷体" w:hAnsi="楷体" w:eastAsia="楷体"/>
          <w:sz w:val="32"/>
          <w:szCs w:val="32"/>
        </w:rPr>
        <w:t>采 购 人：</w:t>
      </w:r>
      <w:r>
        <w:rPr>
          <w:rFonts w:hint="eastAsia" w:ascii="楷体" w:hAnsi="楷体" w:eastAsia="楷体"/>
          <w:sz w:val="32"/>
          <w:szCs w:val="32"/>
          <w:u w:val="single"/>
          <w:lang w:eastAsia="zh-CN"/>
        </w:rPr>
        <w:t>内蒙古华云新材料有限公司</w:t>
      </w:r>
    </w:p>
    <w:p>
      <w:pPr>
        <w:spacing w:line="600" w:lineRule="exact"/>
        <w:rPr>
          <w:rFonts w:ascii="华文细黑" w:eastAsia="隶书"/>
          <w:sz w:val="32"/>
          <w:szCs w:val="32"/>
          <w:u w:val="single"/>
        </w:rPr>
      </w:pPr>
    </w:p>
    <w:p>
      <w:pPr>
        <w:spacing w:line="600" w:lineRule="exact"/>
        <w:rPr>
          <w:rFonts w:ascii="华文细黑" w:eastAsia="隶书"/>
          <w:sz w:val="32"/>
          <w:szCs w:val="32"/>
          <w:u w:val="single"/>
        </w:rPr>
      </w:pPr>
    </w:p>
    <w:p>
      <w:pPr>
        <w:spacing w:line="600" w:lineRule="exact"/>
        <w:rPr>
          <w:rFonts w:ascii="华文细黑" w:eastAsia="隶书"/>
          <w:sz w:val="32"/>
          <w:szCs w:val="32"/>
          <w:u w:val="single"/>
        </w:rPr>
      </w:pPr>
    </w:p>
    <w:p>
      <w:pPr>
        <w:widowControl/>
        <w:jc w:val="left"/>
        <w:rPr>
          <w:rFonts w:ascii="宋体" w:hAnsi="宋体"/>
          <w:b/>
          <w:sz w:val="44"/>
          <w:szCs w:val="44"/>
        </w:rPr>
      </w:pPr>
      <w:r>
        <w:rPr>
          <w:rFonts w:ascii="宋体" w:hAnsi="宋体"/>
          <w:b/>
          <w:sz w:val="44"/>
          <w:szCs w:val="44"/>
        </w:rPr>
        <w:br w:type="page"/>
      </w:r>
    </w:p>
    <w:p>
      <w:pPr>
        <w:spacing w:line="360" w:lineRule="auto"/>
        <w:ind w:firstLine="883" w:firstLineChars="200"/>
        <w:jc w:val="center"/>
        <w:rPr>
          <w:rFonts w:ascii="宋体" w:hAnsi="宋体"/>
          <w:b/>
          <w:sz w:val="44"/>
          <w:szCs w:val="44"/>
        </w:rPr>
      </w:pPr>
      <w:r>
        <w:rPr>
          <w:rFonts w:hint="eastAsia" w:ascii="宋体" w:hAnsi="宋体"/>
          <w:b/>
          <w:sz w:val="44"/>
          <w:szCs w:val="44"/>
        </w:rPr>
        <w:t>第一章  采购公告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rPr>
        <w:t>依据安全环保健康部提出的</w:t>
      </w:r>
      <w:r>
        <w:rPr>
          <w:rFonts w:hint="eastAsia" w:ascii="宋体" w:hAnsi="宋体" w:eastAsia="宋体" w:cs="宋体"/>
          <w:sz w:val="24"/>
        </w:rPr>
        <w:t>《</w:t>
      </w:r>
      <w:r>
        <w:rPr>
          <w:rFonts w:hint="eastAsia" w:ascii="宋体" w:hAnsi="宋体" w:cs="宋体"/>
          <w:bCs/>
          <w:sz w:val="24"/>
          <w:szCs w:val="24"/>
          <w:lang w:eastAsia="zh-CN"/>
        </w:rPr>
        <w:t>内蒙古华云新材料有限公司</w:t>
      </w:r>
      <w:r>
        <w:rPr>
          <w:rFonts w:hint="eastAsia" w:ascii="宋体" w:hAnsi="宋体" w:eastAsia="宋体" w:cs="宋体"/>
          <w:bCs/>
          <w:sz w:val="24"/>
          <w:szCs w:val="24"/>
        </w:rPr>
        <w:t>作业场所职业病危害因素年度及日常检测</w:t>
      </w:r>
      <w:r>
        <w:rPr>
          <w:rFonts w:hint="eastAsia" w:ascii="宋体" w:hAnsi="宋体" w:eastAsia="宋体" w:cs="宋体"/>
          <w:sz w:val="24"/>
        </w:rPr>
        <w:t>》</w:t>
      </w:r>
      <w:r>
        <w:rPr>
          <w:rFonts w:hint="eastAsia" w:ascii="宋体" w:hAnsi="宋体"/>
          <w:sz w:val="24"/>
        </w:rPr>
        <w:t>项目采购申请</w:t>
      </w:r>
      <w:r>
        <w:rPr>
          <w:rFonts w:ascii="宋体" w:hAnsi="宋体"/>
          <w:sz w:val="24"/>
        </w:rPr>
        <w:t>，</w:t>
      </w:r>
      <w:r>
        <w:rPr>
          <w:rFonts w:hint="eastAsia" w:ascii="宋体" w:hAnsi="宋体"/>
          <w:sz w:val="24"/>
        </w:rPr>
        <w:t>经公司批准</w:t>
      </w:r>
      <w:r>
        <w:rPr>
          <w:rFonts w:ascii="宋体" w:hAnsi="宋体"/>
          <w:sz w:val="24"/>
        </w:rPr>
        <w:t>，现进行</w:t>
      </w:r>
      <w:r>
        <w:rPr>
          <w:rFonts w:hint="eastAsia" w:ascii="宋体" w:hAnsi="宋体"/>
          <w:sz w:val="24"/>
          <w:lang w:eastAsia="zh-CN"/>
        </w:rPr>
        <w:t>询比价</w:t>
      </w:r>
      <w:r>
        <w:rPr>
          <w:rFonts w:ascii="宋体" w:hAnsi="宋体"/>
          <w:sz w:val="24"/>
        </w:rPr>
        <w:t>方式采购</w:t>
      </w:r>
      <w:r>
        <w:rPr>
          <w:rFonts w:hint="eastAsia" w:ascii="宋体" w:hAnsi="宋体"/>
          <w:sz w:val="24"/>
        </w:rPr>
        <w:t>，欢迎</w:t>
      </w:r>
      <w:r>
        <w:rPr>
          <w:rFonts w:ascii="宋体" w:hAnsi="宋体"/>
          <w:sz w:val="24"/>
        </w:rPr>
        <w:t>合格的</w:t>
      </w:r>
      <w:r>
        <w:rPr>
          <w:rFonts w:hint="eastAsia" w:ascii="宋体" w:hAnsi="宋体"/>
          <w:sz w:val="24"/>
        </w:rPr>
        <w:t>供应商</w:t>
      </w:r>
      <w:r>
        <w:rPr>
          <w:rFonts w:ascii="宋体" w:hAnsi="宋体"/>
          <w:sz w:val="24"/>
        </w:rPr>
        <w:t>参加</w:t>
      </w:r>
      <w:r>
        <w:rPr>
          <w:rFonts w:hint="eastAsia" w:ascii="宋体" w:hAnsi="宋体"/>
          <w:sz w:val="24"/>
        </w:rPr>
        <w:t>采购活动</w:t>
      </w:r>
      <w:r>
        <w:rPr>
          <w:rFonts w:ascii="宋体" w:hAnsi="宋体"/>
          <w:sz w:val="24"/>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color w:val="000000"/>
          <w:sz w:val="24"/>
          <w:szCs w:val="21"/>
        </w:rPr>
        <w:t>项目名</w:t>
      </w:r>
      <w:r>
        <w:rPr>
          <w:rFonts w:hint="eastAsia" w:ascii="宋体" w:hAnsi="宋体"/>
          <w:sz w:val="24"/>
        </w:rPr>
        <w:t>称：</w:t>
      </w:r>
      <w:r>
        <w:rPr>
          <w:rFonts w:hint="eastAsia" w:ascii="宋体" w:hAnsi="宋体" w:cs="宋体"/>
          <w:bCs/>
          <w:sz w:val="24"/>
          <w:szCs w:val="24"/>
          <w:lang w:eastAsia="zh-CN"/>
        </w:rPr>
        <w:t>内蒙古华云新材料有限公司</w:t>
      </w:r>
      <w:r>
        <w:rPr>
          <w:rFonts w:hint="eastAsia" w:ascii="宋体" w:hAnsi="宋体" w:eastAsia="宋体" w:cs="宋体"/>
          <w:bCs/>
          <w:sz w:val="24"/>
          <w:szCs w:val="24"/>
        </w:rPr>
        <w:t>作业场所职业病危害因素年度及日常检测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lang w:val="en-US" w:eastAsia="zh-CN"/>
        </w:rPr>
        <w:t>2</w:t>
      </w:r>
      <w:r>
        <w:rPr>
          <w:rFonts w:hint="eastAsia" w:ascii="宋体" w:hAnsi="宋体"/>
          <w:sz w:val="24"/>
        </w:rPr>
        <w:t>、采购内容：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lang w:val="en-US" w:eastAsia="zh-CN"/>
        </w:rPr>
        <w:t>2</w:t>
      </w:r>
      <w:r>
        <w:rPr>
          <w:rFonts w:hint="eastAsia" w:ascii="宋体" w:hAnsi="宋体"/>
          <w:sz w:val="24"/>
        </w:rPr>
        <w:t>.1项目概况：本项目是</w:t>
      </w:r>
      <w:r>
        <w:rPr>
          <w:rFonts w:hint="eastAsia" w:ascii="宋体" w:hAnsi="宋体"/>
          <w:sz w:val="24"/>
          <w:szCs w:val="24"/>
        </w:rPr>
        <w:t>对</w:t>
      </w:r>
      <w:r>
        <w:rPr>
          <w:rFonts w:hint="eastAsia" w:ascii="宋体" w:hAnsi="宋体" w:cs="宋体"/>
          <w:bCs/>
          <w:sz w:val="24"/>
          <w:szCs w:val="24"/>
          <w:lang w:eastAsia="zh-CN"/>
        </w:rPr>
        <w:t>内蒙古华云新材料有限公司</w:t>
      </w:r>
      <w:r>
        <w:rPr>
          <w:rFonts w:hint="eastAsia" w:ascii="宋体" w:hAnsi="宋体"/>
          <w:sz w:val="24"/>
          <w:szCs w:val="24"/>
        </w:rPr>
        <w:t>共</w:t>
      </w:r>
      <w:r>
        <w:rPr>
          <w:rFonts w:hint="eastAsia" w:ascii="宋体" w:hAnsi="宋体"/>
          <w:sz w:val="24"/>
          <w:szCs w:val="24"/>
          <w:lang w:val="en-US" w:eastAsia="zh-CN"/>
        </w:rPr>
        <w:t>5</w:t>
      </w:r>
      <w:r>
        <w:rPr>
          <w:rFonts w:hint="eastAsia" w:ascii="宋体" w:hAnsi="宋体"/>
          <w:sz w:val="24"/>
          <w:szCs w:val="24"/>
        </w:rPr>
        <w:t>个二级单位进行工作场所职业病危害因素</w:t>
      </w:r>
      <w:r>
        <w:rPr>
          <w:rFonts w:hint="eastAsia" w:ascii="宋体" w:hAnsi="宋体"/>
          <w:sz w:val="24"/>
          <w:szCs w:val="24"/>
          <w:lang w:eastAsia="zh-CN"/>
        </w:rPr>
        <w:t>一、</w:t>
      </w:r>
      <w:r>
        <w:rPr>
          <w:rFonts w:hint="eastAsia" w:ascii="宋体" w:hAnsi="宋体"/>
          <w:sz w:val="24"/>
          <w:szCs w:val="24"/>
        </w:rPr>
        <w:t>三季度、四季度日常检测工作及</w:t>
      </w:r>
      <w:r>
        <w:rPr>
          <w:rFonts w:hint="eastAsia" w:ascii="宋体" w:hAnsi="宋体"/>
          <w:sz w:val="24"/>
          <w:szCs w:val="24"/>
          <w:lang w:eastAsia="zh-CN"/>
        </w:rPr>
        <w:t>二季度</w:t>
      </w:r>
      <w:r>
        <w:rPr>
          <w:rFonts w:hint="eastAsia" w:ascii="宋体" w:hAnsi="宋体"/>
          <w:sz w:val="24"/>
          <w:szCs w:val="24"/>
        </w:rPr>
        <w:t>年度检测工作并出具</w:t>
      </w:r>
      <w:r>
        <w:rPr>
          <w:rFonts w:hint="eastAsia" w:ascii="宋体" w:hAnsi="宋体" w:cs="Arial"/>
          <w:sz w:val="24"/>
        </w:rPr>
        <w:t>《作业场所职业病危害因素检测报告书》</w:t>
      </w:r>
      <w:r>
        <w:rPr>
          <w:rFonts w:hint="eastAsia" w:ascii="宋体" w:hAnsi="宋体"/>
          <w:sz w:val="24"/>
          <w:szCs w:val="24"/>
        </w:rPr>
        <w:t>。</w:t>
      </w:r>
      <w:r>
        <w:rPr>
          <w:rFonts w:hint="eastAsia" w:ascii="宋体" w:hAnsi="宋体"/>
          <w:sz w:val="24"/>
        </w:rPr>
        <w:t>具体内容及要求详见采购文件。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lang w:val="en-US" w:eastAsia="zh-CN"/>
        </w:rPr>
        <w:t>2</w:t>
      </w:r>
      <w:r>
        <w:rPr>
          <w:rFonts w:hint="eastAsia" w:ascii="宋体" w:hAnsi="宋体"/>
          <w:sz w:val="24"/>
        </w:rPr>
        <w:t>.2地点：包头市东河区铝业产业园区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lang w:eastAsia="zh-CN"/>
        </w:rPr>
      </w:pPr>
      <w:r>
        <w:rPr>
          <w:rFonts w:hint="eastAsia" w:ascii="宋体" w:hAnsi="宋体"/>
          <w:sz w:val="24"/>
          <w:lang w:val="en-US" w:eastAsia="zh-CN"/>
        </w:rPr>
        <w:t>2</w:t>
      </w:r>
      <w:r>
        <w:rPr>
          <w:rFonts w:hint="eastAsia" w:ascii="宋体" w:hAnsi="宋体"/>
          <w:sz w:val="24"/>
        </w:rPr>
        <w:t>.3采购人：</w:t>
      </w:r>
      <w:r>
        <w:rPr>
          <w:rFonts w:hint="eastAsia" w:ascii="宋体" w:hAnsi="宋体"/>
          <w:sz w:val="24"/>
          <w:lang w:eastAsia="zh-CN"/>
        </w:rPr>
        <w:t>内蒙古华云新材料有限公司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lang w:val="en-US" w:eastAsia="zh-CN"/>
        </w:rPr>
        <w:t>3</w:t>
      </w:r>
      <w:r>
        <w:rPr>
          <w:rFonts w:hint="eastAsia" w:ascii="宋体" w:hAnsi="宋体"/>
          <w:sz w:val="24"/>
        </w:rPr>
        <w:t>、技术要求：详见采购文件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lang w:val="en-US" w:eastAsia="zh-CN"/>
        </w:rPr>
        <w:t>4</w:t>
      </w:r>
      <w:r>
        <w:rPr>
          <w:rFonts w:ascii="宋体" w:hAnsi="宋体"/>
          <w:sz w:val="24"/>
        </w:rPr>
        <w:t>、资</w:t>
      </w:r>
      <w:r>
        <w:rPr>
          <w:rFonts w:hint="eastAsia" w:ascii="宋体" w:hAnsi="宋体"/>
          <w:sz w:val="24"/>
        </w:rPr>
        <w:t>格</w:t>
      </w:r>
      <w:r>
        <w:rPr>
          <w:rFonts w:ascii="宋体" w:hAnsi="宋体"/>
          <w:sz w:val="24"/>
        </w:rPr>
        <w:t>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napToGrid w:val="0"/>
          <w:sz w:val="24"/>
          <w:szCs w:val="21"/>
          <w:lang w:val="en-US" w:eastAsia="zh-CN"/>
        </w:rPr>
        <w:t>4</w:t>
      </w:r>
      <w:r>
        <w:rPr>
          <w:rFonts w:hint="eastAsia" w:ascii="宋体" w:hAnsi="宋体"/>
          <w:snapToGrid w:val="0"/>
          <w:sz w:val="24"/>
          <w:szCs w:val="21"/>
        </w:rPr>
        <w:t>.1</w:t>
      </w:r>
      <w:r>
        <w:rPr>
          <w:rFonts w:hint="eastAsia" w:ascii="宋体" w:hAnsi="宋体"/>
          <w:color w:val="000000"/>
          <w:sz w:val="24"/>
        </w:rPr>
        <w:t>供应商</w:t>
      </w:r>
      <w:r>
        <w:rPr>
          <w:rFonts w:hint="eastAsia" w:ascii="宋体" w:hAnsi="宋体"/>
          <w:sz w:val="24"/>
        </w:rPr>
        <w:t>为在中华人民共和国注册的独立法人资格的企业，具有有效履行合同能力的单位，经营范围符合本项目要求。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szCs w:val="24"/>
        </w:rPr>
      </w:pPr>
      <w:r>
        <w:rPr>
          <w:rFonts w:hint="eastAsia" w:ascii="宋体" w:hAnsi="宋体"/>
          <w:sz w:val="24"/>
          <w:lang w:val="en-US" w:eastAsia="zh-CN"/>
        </w:rPr>
        <w:t>4</w:t>
      </w:r>
      <w:r>
        <w:rPr>
          <w:rFonts w:hint="eastAsia" w:ascii="宋体" w:hAnsi="宋体"/>
          <w:sz w:val="24"/>
        </w:rPr>
        <w:t>.2资质要求：</w:t>
      </w:r>
      <w:r>
        <w:rPr>
          <w:rFonts w:hint="eastAsia" w:ascii="宋体" w:hAnsi="宋体"/>
          <w:sz w:val="24"/>
          <w:szCs w:val="24"/>
        </w:rPr>
        <w:t>具有职业卫生技术服务机构资质证书乙级及乙级以上（业务范围包括冶金项目）、检验检测机构资质认定证书。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.3业绩要求：</w:t>
      </w:r>
      <w:r>
        <w:rPr>
          <w:rFonts w:hint="eastAsia" w:ascii="宋体" w:hAnsi="宋体"/>
          <w:sz w:val="24"/>
          <w:szCs w:val="24"/>
        </w:rPr>
        <w:t>近三年内至少完成一项类似行业业绩（以合同为准）。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szCs w:val="24"/>
        </w:rPr>
      </w:pPr>
      <w:r>
        <w:rPr>
          <w:rFonts w:hint="eastAsia" w:ascii="宋体" w:hAnsi="宋体"/>
          <w:sz w:val="24"/>
          <w:lang w:val="en-US" w:eastAsia="zh-CN"/>
        </w:rPr>
        <w:t>4</w:t>
      </w:r>
      <w:r>
        <w:rPr>
          <w:rFonts w:hint="eastAsia" w:ascii="宋体" w:hAnsi="宋体"/>
          <w:sz w:val="24"/>
        </w:rPr>
        <w:t>.4财务要求：参加报价的单位必须经营状况良好，</w:t>
      </w:r>
      <w:r>
        <w:rPr>
          <w:rFonts w:hint="eastAsia" w:ascii="宋体" w:hAnsi="宋体"/>
          <w:sz w:val="24"/>
          <w:szCs w:val="24"/>
        </w:rPr>
        <w:t>具有良好的商业信誉，没有处于被责令停业或破产状态，且资产未被重组、接管和冻结。</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.5</w:t>
      </w:r>
      <w:r>
        <w:rPr>
          <w:rFonts w:ascii="宋体" w:hAnsi="宋体"/>
          <w:sz w:val="24"/>
        </w:rPr>
        <w:t>不接受存在以下情形之一报价单位报价，包括：（1）被工商行政管理机关在全国企业信用信息公示系统中列入严重违法失信企业名单；（2）被最高人民法院在“信用中国”网站（</w:t>
      </w:r>
      <w:r>
        <w:rPr>
          <w:rFonts w:ascii="宋体" w:hAnsi="宋体"/>
          <w:sz w:val="24"/>
        </w:rPr>
        <w:drawing>
          <wp:inline distT="0" distB="0" distL="0" distR="0">
            <wp:extent cx="142875" cy="142875"/>
            <wp:effectExtent l="0" t="0" r="0" b="0"/>
            <wp:docPr id="1" name="图片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GJ$ACOF(TYDYECOKVDYB"/>
                    <pic:cNvPicPr>
                      <a:picLocks noChangeAspect="1" noChangeArrowheads="1"/>
                    </pic:cNvPicPr>
                  </pic:nvPicPr>
                  <pic:blipFill>
                    <a:blip r:embed="rId9"/>
                    <a:srcRect/>
                    <a:stretch>
                      <a:fillRect/>
                    </a:stretch>
                  </pic:blipFill>
                  <pic:spPr>
                    <a:xfrm>
                      <a:off x="0" y="0"/>
                      <a:ext cx="142875" cy="142875"/>
                    </a:xfrm>
                    <a:prstGeom prst="rect">
                      <a:avLst/>
                    </a:prstGeom>
                    <a:noFill/>
                    <a:ln w="9525">
                      <a:noFill/>
                      <a:miter lim="800000"/>
                      <a:headEnd/>
                      <a:tailEnd/>
                    </a:ln>
                  </pic:spPr>
                </pic:pic>
              </a:graphicData>
            </a:graphic>
          </wp:inline>
        </w:drawing>
      </w:r>
      <w:r>
        <w:rPr>
          <w:rFonts w:ascii="宋体" w:hAnsi="宋体"/>
          <w:sz w:val="24"/>
        </w:rPr>
        <w:t>www.creditchina.gov.cn）或各级信用信息共享平台中列入失信被执行人名单；（3）列入中铝系统禁止交易企业名单或限制交易企业名单。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lang w:val="en-US" w:eastAsia="zh-CN"/>
        </w:rPr>
      </w:pPr>
      <w:r>
        <w:rPr>
          <w:rFonts w:hint="eastAsia" w:ascii="宋体" w:hAnsi="宋体"/>
          <w:sz w:val="24"/>
          <w:lang w:val="en-US" w:eastAsia="zh-CN"/>
        </w:rPr>
        <w:t>5.标书及开标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lang w:val="en-US" w:eastAsia="zh-CN"/>
        </w:rPr>
      </w:pPr>
      <w:r>
        <w:rPr>
          <w:rFonts w:hint="eastAsia" w:ascii="宋体" w:hAnsi="宋体"/>
          <w:sz w:val="24"/>
          <w:lang w:val="en-US" w:eastAsia="zh-CN"/>
        </w:rPr>
        <w:t>2022年3月10日前完成标书制作。</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lang w:val="en-US" w:eastAsia="zh-CN"/>
        </w:rPr>
      </w:pPr>
      <w:r>
        <w:rPr>
          <w:rFonts w:hint="eastAsia" w:ascii="宋体" w:hAnsi="宋体"/>
          <w:sz w:val="24"/>
          <w:lang w:val="en-US" w:eastAsia="zh-CN"/>
        </w:rPr>
        <w:t>采购方联系人：</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sz w:val="24"/>
          <w:lang w:val="en-US" w:eastAsia="zh-CN"/>
        </w:rPr>
      </w:pPr>
      <w:r>
        <w:rPr>
          <w:rFonts w:hint="eastAsia" w:ascii="宋体" w:hAnsi="宋体"/>
          <w:sz w:val="24"/>
          <w:lang w:val="en-US" w:eastAsia="zh-CN"/>
        </w:rPr>
        <w:t>丁晓斌    联系电话：13190736965   qq邮箱：1416328829@qq.com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sz w:val="24"/>
          <w:lang w:eastAsia="zh-CN"/>
        </w:rPr>
      </w:pPr>
      <w:r>
        <w:rPr>
          <w:rFonts w:hint="eastAsia" w:ascii="宋体" w:hAnsi="宋体" w:cs="Arial Unicode MS"/>
          <w:spacing w:val="-1"/>
          <w:kern w:val="0"/>
          <w:sz w:val="24"/>
        </w:rPr>
        <w:t xml:space="preserve">                                       </w:t>
      </w:r>
      <w:r>
        <w:rPr>
          <w:rFonts w:hint="eastAsia" w:ascii="宋体" w:hAnsi="宋体"/>
          <w:sz w:val="24"/>
        </w:rPr>
        <w:t>包头铝业有限公司</w:t>
      </w:r>
      <w:r>
        <w:rPr>
          <w:rFonts w:hint="eastAsia" w:ascii="宋体" w:hAnsi="宋体"/>
          <w:sz w:val="24"/>
          <w:lang w:eastAsia="zh-CN"/>
        </w:rPr>
        <w:t>安全环保健康部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188" w:firstLineChars="2600"/>
        <w:textAlignment w:val="auto"/>
        <w:rPr>
          <w:rFonts w:ascii="宋体" w:hAnsi="宋体"/>
          <w:bCs/>
          <w:sz w:val="32"/>
        </w:rPr>
      </w:pPr>
      <w:bookmarkStart w:id="33" w:name="_GoBack"/>
      <w:bookmarkEnd w:id="33"/>
      <w:r>
        <w:rPr>
          <w:rFonts w:ascii="宋体" w:hAnsi="宋体" w:cs="Arial Unicode MS"/>
          <w:spacing w:val="-1"/>
          <w:kern w:val="0"/>
          <w:sz w:val="24"/>
        </w:rPr>
        <w:t>20</w:t>
      </w:r>
      <w:r>
        <w:rPr>
          <w:rFonts w:hint="eastAsia" w:ascii="宋体" w:hAnsi="宋体" w:cs="Arial Unicode MS"/>
          <w:spacing w:val="-1"/>
          <w:kern w:val="0"/>
          <w:sz w:val="24"/>
        </w:rPr>
        <w:t>2</w:t>
      </w:r>
      <w:r>
        <w:rPr>
          <w:rFonts w:hint="eastAsia" w:ascii="宋体" w:hAnsi="宋体" w:cs="Arial Unicode MS"/>
          <w:spacing w:val="-1"/>
          <w:kern w:val="0"/>
          <w:sz w:val="24"/>
          <w:lang w:val="en-US" w:eastAsia="zh-CN"/>
        </w:rPr>
        <w:t>2</w:t>
      </w:r>
      <w:r>
        <w:rPr>
          <w:rFonts w:ascii="宋体" w:hAnsi="宋体" w:cs="Arial Unicode MS"/>
          <w:spacing w:val="-1"/>
          <w:kern w:val="0"/>
          <w:sz w:val="24"/>
        </w:rPr>
        <w:t>年</w:t>
      </w:r>
      <w:r>
        <w:rPr>
          <w:rFonts w:hint="eastAsia" w:ascii="宋体" w:hAnsi="宋体" w:cs="Arial Unicode MS"/>
          <w:spacing w:val="-1"/>
          <w:kern w:val="0"/>
          <w:sz w:val="24"/>
        </w:rPr>
        <w:t>0</w:t>
      </w:r>
      <w:r>
        <w:rPr>
          <w:rFonts w:hint="eastAsia" w:ascii="宋体" w:hAnsi="宋体" w:cs="Arial Unicode MS"/>
          <w:spacing w:val="-1"/>
          <w:kern w:val="0"/>
          <w:sz w:val="24"/>
          <w:lang w:val="en-US" w:eastAsia="zh-CN"/>
        </w:rPr>
        <w:t>3</w:t>
      </w:r>
      <w:r>
        <w:rPr>
          <w:rFonts w:ascii="宋体" w:hAnsi="宋体" w:cs="Arial Unicode MS"/>
          <w:spacing w:val="-1"/>
          <w:kern w:val="0"/>
          <w:sz w:val="24"/>
        </w:rPr>
        <w:t>月</w:t>
      </w:r>
    </w:p>
    <w:p>
      <w:pPr>
        <w:spacing w:line="360" w:lineRule="auto"/>
        <w:rPr>
          <w:rFonts w:ascii="宋体" w:hAnsi="宋体"/>
          <w:bCs/>
          <w:sz w:val="28"/>
        </w:rPr>
      </w:pPr>
    </w:p>
    <w:p>
      <w:pPr>
        <w:widowControl/>
        <w:jc w:val="left"/>
        <w:rPr>
          <w:rFonts w:ascii="宋体" w:hAnsi="宋体"/>
          <w:b/>
          <w:sz w:val="48"/>
          <w:szCs w:val="44"/>
        </w:rPr>
      </w:pPr>
      <w:r>
        <w:rPr>
          <w:rFonts w:ascii="宋体" w:hAnsi="宋体"/>
          <w:b/>
          <w:sz w:val="48"/>
          <w:szCs w:val="44"/>
        </w:rPr>
        <w:br w:type="page"/>
      </w:r>
    </w:p>
    <w:p>
      <w:pPr>
        <w:spacing w:line="600" w:lineRule="exact"/>
        <w:ind w:firstLine="3092" w:firstLineChars="700"/>
        <w:jc w:val="left"/>
        <w:rPr>
          <w:rFonts w:hint="eastAsia" w:ascii="黑体" w:hAnsi="黑体" w:eastAsia="黑体" w:cs="黑体"/>
          <w:b/>
          <w:sz w:val="44"/>
          <w:szCs w:val="44"/>
          <w:lang w:eastAsia="zh-CN"/>
        </w:rPr>
      </w:pPr>
    </w:p>
    <w:p>
      <w:pPr>
        <w:spacing w:line="600" w:lineRule="exact"/>
        <w:ind w:firstLine="3092" w:firstLineChars="700"/>
        <w:jc w:val="left"/>
        <w:rPr>
          <w:rFonts w:hint="eastAsia" w:ascii="黑体" w:hAnsi="黑体" w:eastAsia="黑体" w:cs="黑体"/>
          <w:b/>
          <w:sz w:val="44"/>
          <w:szCs w:val="44"/>
          <w:lang w:eastAsia="zh-CN"/>
        </w:rPr>
      </w:pPr>
      <w:r>
        <w:rPr>
          <w:rFonts w:hint="eastAsia" w:ascii="黑体" w:hAnsi="黑体" w:eastAsia="黑体" w:cs="黑体"/>
          <w:b/>
          <w:sz w:val="44"/>
          <w:szCs w:val="44"/>
          <w:lang w:eastAsia="zh-CN"/>
        </w:rPr>
        <w:t>报</w:t>
      </w:r>
      <w:r>
        <w:rPr>
          <w:rFonts w:hint="eastAsia" w:ascii="黑体" w:hAnsi="黑体" w:eastAsia="黑体" w:cs="黑体"/>
          <w:b/>
          <w:sz w:val="44"/>
          <w:szCs w:val="44"/>
          <w:lang w:val="en-US" w:eastAsia="zh-CN"/>
        </w:rPr>
        <w:t xml:space="preserve"> </w:t>
      </w:r>
      <w:r>
        <w:rPr>
          <w:rFonts w:hint="eastAsia" w:ascii="黑体" w:hAnsi="黑体" w:eastAsia="黑体" w:cs="黑体"/>
          <w:b/>
          <w:sz w:val="44"/>
          <w:szCs w:val="44"/>
          <w:lang w:eastAsia="zh-CN"/>
        </w:rPr>
        <w:t>名</w:t>
      </w:r>
      <w:r>
        <w:rPr>
          <w:rFonts w:hint="eastAsia" w:ascii="黑体" w:hAnsi="黑体" w:eastAsia="黑体" w:cs="黑体"/>
          <w:b/>
          <w:sz w:val="44"/>
          <w:szCs w:val="44"/>
          <w:lang w:val="en-US" w:eastAsia="zh-CN"/>
        </w:rPr>
        <w:t xml:space="preserve"> </w:t>
      </w:r>
      <w:r>
        <w:rPr>
          <w:rFonts w:hint="eastAsia" w:ascii="黑体" w:hAnsi="黑体" w:eastAsia="黑体" w:cs="黑体"/>
          <w:b/>
          <w:sz w:val="44"/>
          <w:szCs w:val="44"/>
          <w:lang w:eastAsia="zh-CN"/>
        </w:rPr>
        <w:t>函</w:t>
      </w:r>
    </w:p>
    <w:p>
      <w:pPr>
        <w:spacing w:line="600" w:lineRule="exact"/>
        <w:ind w:firstLine="1205" w:firstLineChars="400"/>
        <w:rPr>
          <w:rFonts w:hint="eastAsia" w:ascii="宋体" w:hAnsi="宋体" w:eastAsia="宋体" w:cs="宋体"/>
          <w:b/>
          <w:sz w:val="30"/>
          <w:szCs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致：</w:t>
      </w:r>
      <w:r>
        <w:rPr>
          <w:rFonts w:hint="eastAsia" w:ascii="仿宋_GB2312" w:hAnsi="仿宋_GB2312" w:eastAsia="仿宋_GB2312" w:cs="仿宋_GB2312"/>
          <w:b w:val="0"/>
          <w:bCs/>
          <w:sz w:val="32"/>
          <w:szCs w:val="32"/>
          <w:u w:val="none"/>
          <w:lang w:val="en-US" w:eastAsia="zh-CN"/>
        </w:rPr>
        <w:t xml:space="preserve">             </w:t>
      </w:r>
      <w:r>
        <w:rPr>
          <w:rFonts w:hint="eastAsia" w:ascii="仿宋_GB2312" w:hAnsi="仿宋_GB2312" w:eastAsia="仿宋_GB2312" w:cs="仿宋_GB2312"/>
          <w:b w:val="0"/>
          <w:bCs/>
          <w:sz w:val="32"/>
          <w:szCs w:val="32"/>
          <w:u w:val="none"/>
        </w:rPr>
        <w:t>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u w:val="none"/>
          <w:lang w:eastAsia="zh-CN"/>
        </w:rPr>
      </w:pPr>
      <w:r>
        <w:rPr>
          <w:rFonts w:hint="eastAsia" w:ascii="仿宋_GB2312" w:hAnsi="仿宋_GB2312" w:eastAsia="仿宋_GB2312" w:cs="仿宋_GB2312"/>
          <w:b w:val="0"/>
          <w:bCs/>
          <w:sz w:val="32"/>
          <w:szCs w:val="32"/>
          <w:u w:val="none"/>
        </w:rPr>
        <w:t>在研究了贵</w:t>
      </w:r>
      <w:r>
        <w:rPr>
          <w:rFonts w:hint="eastAsia" w:ascii="仿宋_GB2312" w:hAnsi="仿宋_GB2312" w:eastAsia="仿宋_GB2312" w:cs="仿宋_GB2312"/>
          <w:b w:val="0"/>
          <w:bCs/>
          <w:sz w:val="32"/>
          <w:szCs w:val="32"/>
          <w:u w:val="none"/>
          <w:lang w:eastAsia="zh-CN"/>
        </w:rPr>
        <w:t>公司</w:t>
      </w:r>
      <w:r>
        <w:rPr>
          <w:rFonts w:hint="eastAsia" w:ascii="仿宋_GB2312" w:hAnsi="仿宋_GB2312" w:eastAsia="仿宋_GB2312" w:cs="仿宋_GB2312"/>
          <w:b w:val="0"/>
          <w:bCs/>
          <w:sz w:val="32"/>
          <w:szCs w:val="32"/>
          <w:u w:val="none"/>
        </w:rPr>
        <w:t>的</w:t>
      </w:r>
      <w:r>
        <w:rPr>
          <w:rFonts w:hint="eastAsia" w:ascii="仿宋_GB2312" w:hAnsi="仿宋_GB2312" w:eastAsia="仿宋_GB2312" w:cs="仿宋_GB2312"/>
          <w:b/>
          <w:bCs w:val="0"/>
          <w:sz w:val="32"/>
          <w:szCs w:val="32"/>
          <w:u w:val="none"/>
        </w:rPr>
        <w:t>作业场所职业病危害因素年度及日常检测</w:t>
      </w:r>
      <w:r>
        <w:rPr>
          <w:rFonts w:hint="eastAsia" w:ascii="仿宋_GB2312" w:hAnsi="仿宋_GB2312" w:eastAsia="仿宋_GB2312" w:cs="仿宋_GB2312"/>
          <w:b/>
          <w:bCs w:val="0"/>
          <w:sz w:val="32"/>
          <w:szCs w:val="32"/>
          <w:u w:val="none"/>
          <w:lang w:eastAsia="zh-CN"/>
        </w:rPr>
        <w:t>项目</w:t>
      </w:r>
      <w:r>
        <w:rPr>
          <w:rFonts w:hint="eastAsia" w:ascii="仿宋_GB2312" w:hAnsi="仿宋_GB2312" w:eastAsia="仿宋_GB2312" w:cs="仿宋_GB2312"/>
          <w:b w:val="0"/>
          <w:bCs/>
          <w:sz w:val="32"/>
          <w:szCs w:val="32"/>
          <w:u w:val="none"/>
          <w:lang w:eastAsia="zh-CN"/>
        </w:rPr>
        <w:t>采购文件后，我公司愿意参加本项目的采购投标活动，</w:t>
      </w:r>
      <w:r>
        <w:rPr>
          <w:rFonts w:hint="eastAsia" w:ascii="仿宋_GB2312" w:hAnsi="仿宋_GB2312" w:eastAsia="仿宋_GB2312" w:cs="仿宋_GB2312"/>
          <w:b w:val="0"/>
          <w:bCs/>
          <w:sz w:val="32"/>
          <w:szCs w:val="32"/>
          <w:u w:val="none"/>
        </w:rPr>
        <w:t>同意</w:t>
      </w:r>
      <w:r>
        <w:rPr>
          <w:rFonts w:hint="eastAsia" w:ascii="仿宋_GB2312" w:hAnsi="仿宋_GB2312" w:eastAsia="仿宋_GB2312" w:cs="仿宋_GB2312"/>
          <w:b w:val="0"/>
          <w:bCs/>
          <w:sz w:val="32"/>
          <w:szCs w:val="32"/>
          <w:u w:val="none"/>
          <w:lang w:eastAsia="zh-CN"/>
        </w:rPr>
        <w:t>按照贵公司采购文件相关要求编制响应文件，并按时递送响应文件，准时参加该项目开标活动。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此函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项目联系人：       联系电话：        邮箱：               </w:t>
      </w:r>
    </w:p>
    <w:p>
      <w:pPr>
        <w:keepNext w:val="0"/>
        <w:keepLines w:val="0"/>
        <w:pageBreakBefore w:val="0"/>
        <w:widowControl w:val="0"/>
        <w:kinsoku/>
        <w:wordWrap/>
        <w:overflowPunct/>
        <w:topLinePunct w:val="0"/>
        <w:autoSpaceDE/>
        <w:autoSpaceDN/>
        <w:bidi w:val="0"/>
        <w:adjustRightInd/>
        <w:snapToGrid/>
        <w:spacing w:line="360" w:lineRule="auto"/>
        <w:ind w:firstLine="1280" w:firstLineChars="4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280" w:firstLineChars="400"/>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520" w:firstLineChars="11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法人签字：</w:t>
      </w:r>
    </w:p>
    <w:p>
      <w:pPr>
        <w:keepNext w:val="0"/>
        <w:keepLines w:val="0"/>
        <w:pageBreakBefore w:val="0"/>
        <w:widowControl w:val="0"/>
        <w:kinsoku/>
        <w:wordWrap/>
        <w:overflowPunct/>
        <w:topLinePunct w:val="0"/>
        <w:autoSpaceDE/>
        <w:autoSpaceDN/>
        <w:bidi w:val="0"/>
        <w:adjustRightInd/>
        <w:snapToGrid/>
        <w:spacing w:line="360" w:lineRule="auto"/>
        <w:ind w:firstLine="3520" w:firstLineChars="11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××××公司（盖章）</w:t>
      </w:r>
    </w:p>
    <w:p>
      <w:pPr>
        <w:pStyle w:val="2"/>
        <w:rPr>
          <w:rFonts w:hint="default"/>
          <w:lang w:val="en-US" w:eastAsia="zh-CN"/>
        </w:rPr>
      </w:pPr>
      <w:r>
        <w:rPr>
          <w:rFonts w:hint="eastAsia" w:ascii="宋体" w:hAnsi="宋体"/>
          <w:b/>
          <w:sz w:val="44"/>
          <w:szCs w:val="44"/>
          <w:lang w:val="en-US" w:eastAsia="zh-CN"/>
        </w:rPr>
        <w:t xml:space="preserve">                   </w:t>
      </w:r>
    </w:p>
    <w:p>
      <w:pPr>
        <w:spacing w:line="600" w:lineRule="exact"/>
        <w:ind w:firstLine="1767" w:firstLineChars="400"/>
        <w:rPr>
          <w:rFonts w:hint="eastAsia" w:ascii="宋体" w:hAnsi="宋体"/>
          <w:b/>
          <w:sz w:val="44"/>
          <w:szCs w:val="44"/>
        </w:rPr>
      </w:pPr>
    </w:p>
    <w:p>
      <w:pPr>
        <w:spacing w:line="600" w:lineRule="exact"/>
        <w:ind w:firstLine="1767" w:firstLineChars="400"/>
        <w:rPr>
          <w:rFonts w:hint="eastAsia" w:ascii="宋体" w:hAnsi="宋体"/>
          <w:b/>
          <w:sz w:val="44"/>
          <w:szCs w:val="44"/>
        </w:rPr>
      </w:pPr>
    </w:p>
    <w:p>
      <w:pPr>
        <w:spacing w:line="600" w:lineRule="exact"/>
        <w:ind w:firstLine="1767" w:firstLineChars="400"/>
        <w:rPr>
          <w:rFonts w:hint="eastAsia" w:ascii="宋体" w:hAnsi="宋体"/>
          <w:b/>
          <w:sz w:val="44"/>
          <w:szCs w:val="44"/>
        </w:rPr>
      </w:pPr>
    </w:p>
    <w:p>
      <w:pPr>
        <w:spacing w:line="600" w:lineRule="exact"/>
        <w:ind w:firstLine="1767" w:firstLineChars="400"/>
        <w:rPr>
          <w:rFonts w:hint="eastAsia" w:ascii="宋体" w:hAnsi="宋体"/>
          <w:b/>
          <w:sz w:val="44"/>
          <w:szCs w:val="44"/>
        </w:rPr>
      </w:pPr>
    </w:p>
    <w:p>
      <w:pPr>
        <w:spacing w:line="600" w:lineRule="exact"/>
        <w:ind w:firstLine="1767" w:firstLineChars="400"/>
        <w:rPr>
          <w:rFonts w:hint="eastAsia" w:ascii="宋体" w:hAnsi="宋体"/>
          <w:b/>
          <w:sz w:val="44"/>
          <w:szCs w:val="44"/>
        </w:rPr>
      </w:pPr>
    </w:p>
    <w:p>
      <w:pPr>
        <w:spacing w:line="600" w:lineRule="exact"/>
        <w:ind w:firstLine="1767" w:firstLineChars="400"/>
        <w:rPr>
          <w:rFonts w:hint="eastAsia" w:ascii="宋体" w:hAnsi="宋体"/>
          <w:b/>
          <w:sz w:val="44"/>
          <w:szCs w:val="44"/>
        </w:rPr>
      </w:pPr>
    </w:p>
    <w:p>
      <w:pPr>
        <w:spacing w:line="600" w:lineRule="exact"/>
        <w:ind w:firstLine="1767" w:firstLineChars="400"/>
        <w:rPr>
          <w:rFonts w:hint="eastAsia" w:ascii="宋体" w:hAnsi="宋体"/>
          <w:b/>
          <w:sz w:val="44"/>
          <w:szCs w:val="44"/>
        </w:rPr>
      </w:pPr>
    </w:p>
    <w:p>
      <w:pPr>
        <w:spacing w:line="600" w:lineRule="exact"/>
        <w:ind w:firstLine="1767" w:firstLineChars="400"/>
        <w:rPr>
          <w:rFonts w:hint="eastAsia" w:ascii="宋体" w:hAnsi="宋体"/>
          <w:b/>
          <w:sz w:val="44"/>
          <w:szCs w:val="44"/>
        </w:rPr>
      </w:pPr>
    </w:p>
    <w:p>
      <w:pPr>
        <w:spacing w:line="600" w:lineRule="exact"/>
        <w:ind w:firstLine="1767" w:firstLineChars="400"/>
        <w:rPr>
          <w:rFonts w:ascii="宋体" w:hAnsi="宋体"/>
          <w:b/>
          <w:sz w:val="44"/>
          <w:szCs w:val="44"/>
        </w:rPr>
      </w:pPr>
      <w:r>
        <w:rPr>
          <w:rFonts w:hint="eastAsia" w:ascii="宋体" w:hAnsi="宋体"/>
          <w:b/>
          <w:sz w:val="44"/>
          <w:szCs w:val="44"/>
        </w:rPr>
        <w:t>第二章 编制响应文件须知</w:t>
      </w:r>
    </w:p>
    <w:p>
      <w:pPr>
        <w:pStyle w:val="299"/>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pPr>
      <w:r>
        <w:rPr>
          <w:rFonts w:hint="eastAsia" w:cs="宋体"/>
          <w:bCs/>
          <w:sz w:val="24"/>
          <w:szCs w:val="24"/>
          <w:lang w:eastAsia="zh-CN"/>
        </w:rPr>
        <w:t>内蒙古华云新材料有限公司</w:t>
      </w:r>
      <w:r>
        <w:rPr>
          <w:rFonts w:hint="eastAsia" w:ascii="宋体" w:hAnsi="宋体" w:eastAsia="宋体" w:cs="宋体"/>
          <w:bCs/>
          <w:sz w:val="24"/>
          <w:szCs w:val="24"/>
        </w:rPr>
        <w:t>作业场所职业病危害因素年度及日常检测</w:t>
      </w:r>
      <w:r>
        <w:rPr>
          <w:rFonts w:hint="eastAsia" w:ascii="宋体" w:hAnsi="宋体" w:eastAsia="宋体" w:cs="宋体"/>
          <w:bCs/>
          <w:sz w:val="24"/>
          <w:szCs w:val="24"/>
          <w:lang w:eastAsia="zh-CN"/>
        </w:rPr>
        <w:t>项目</w:t>
      </w:r>
      <w:r>
        <w:rPr>
          <w:rFonts w:hint="eastAsia"/>
          <w:szCs w:val="24"/>
        </w:rPr>
        <w:t>通过</w:t>
      </w:r>
      <w:r>
        <w:rPr>
          <w:rFonts w:hint="eastAsia"/>
        </w:rPr>
        <w:t>公开询价采购</w:t>
      </w:r>
      <w:r>
        <w:rPr>
          <w:rFonts w:hint="eastAsia"/>
          <w:szCs w:val="24"/>
        </w:rPr>
        <w:t>方式确定成交</w:t>
      </w:r>
      <w:r>
        <w:rPr>
          <w:rFonts w:hint="eastAsia"/>
        </w:rPr>
        <w:t>供应商</w:t>
      </w:r>
      <w:r>
        <w:rPr>
          <w:rFonts w:hint="eastAsia"/>
          <w:szCs w:val="24"/>
        </w:rPr>
        <w:t>。欢迎贵单位参加并提请注意下列附表中的相关事项，如</w:t>
      </w:r>
      <w:r>
        <w:rPr>
          <w:rFonts w:hint="eastAsia"/>
        </w:rPr>
        <w:t>前附表内容与响应文件须知正文内容有冲突，以前附表内容为准</w:t>
      </w:r>
      <w:r>
        <w:rPr>
          <w:rFonts w:hint="eastAsia"/>
          <w:szCs w:val="24"/>
        </w:rPr>
        <w:t>：</w:t>
      </w:r>
    </w:p>
    <w:tbl>
      <w:tblPr>
        <w:tblStyle w:val="5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62"/>
        <w:gridCol w:w="80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vAlign w:val="center"/>
          </w:tcPr>
          <w:p>
            <w:pPr>
              <w:spacing w:line="276" w:lineRule="auto"/>
              <w:jc w:val="center"/>
              <w:rPr>
                <w:rFonts w:ascii="宋体"/>
                <w:b/>
                <w:sz w:val="24"/>
              </w:rPr>
            </w:pPr>
            <w:r>
              <w:rPr>
                <w:rFonts w:hint="eastAsia" w:ascii="宋体"/>
                <w:b/>
                <w:sz w:val="24"/>
              </w:rPr>
              <w:t>序号</w:t>
            </w:r>
          </w:p>
        </w:tc>
        <w:tc>
          <w:tcPr>
            <w:tcW w:w="4567" w:type="pct"/>
            <w:vAlign w:val="center"/>
          </w:tcPr>
          <w:p>
            <w:pPr>
              <w:spacing w:line="276" w:lineRule="auto"/>
              <w:ind w:firstLine="3188" w:firstLineChars="1323"/>
              <w:rPr>
                <w:rFonts w:ascii="宋体"/>
                <w:b/>
                <w:sz w:val="24"/>
              </w:rPr>
            </w:pPr>
            <w:r>
              <w:rPr>
                <w:rFonts w:hint="eastAsia" w:ascii="宋体"/>
                <w:b/>
                <w:sz w:val="24"/>
              </w:rPr>
              <w:t>须知内容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vAlign w:val="center"/>
          </w:tcPr>
          <w:p>
            <w:pPr>
              <w:spacing w:line="276" w:lineRule="auto"/>
              <w:jc w:val="center"/>
              <w:rPr>
                <w:rFonts w:ascii="宋体"/>
                <w:sz w:val="24"/>
              </w:rPr>
            </w:pPr>
            <w:r>
              <w:rPr>
                <w:rFonts w:hint="eastAsia" w:ascii="宋体"/>
                <w:sz w:val="24"/>
              </w:rPr>
              <w:t>1</w:t>
            </w:r>
          </w:p>
        </w:tc>
        <w:tc>
          <w:tcPr>
            <w:tcW w:w="4567" w:type="pct"/>
            <w:vAlign w:val="center"/>
          </w:tcPr>
          <w:p>
            <w:pPr>
              <w:snapToGrid w:val="0"/>
              <w:spacing w:line="276" w:lineRule="auto"/>
              <w:rPr>
                <w:rFonts w:ascii="宋体" w:hAnsi="宋体"/>
                <w:sz w:val="24"/>
                <w:szCs w:val="24"/>
              </w:rPr>
            </w:pPr>
            <w:r>
              <w:rPr>
                <w:rFonts w:hint="eastAsia" w:ascii="宋体"/>
                <w:sz w:val="24"/>
              </w:rPr>
              <w:t>项目名称：</w:t>
            </w:r>
            <w:r>
              <w:rPr>
                <w:rFonts w:hint="eastAsia" w:ascii="宋体" w:hAnsi="宋体" w:cs="宋体"/>
                <w:bCs/>
                <w:sz w:val="24"/>
                <w:szCs w:val="24"/>
                <w:lang w:eastAsia="zh-CN"/>
              </w:rPr>
              <w:t>内蒙古华云新材料有限公司</w:t>
            </w:r>
            <w:r>
              <w:rPr>
                <w:rFonts w:hint="eastAsia" w:ascii="宋体" w:hAnsi="宋体" w:eastAsia="宋体" w:cs="宋体"/>
                <w:bCs/>
                <w:sz w:val="24"/>
                <w:szCs w:val="24"/>
              </w:rPr>
              <w:t>作业场所职业病危害因素年度及日常检测</w:t>
            </w:r>
          </w:p>
          <w:p>
            <w:pPr>
              <w:snapToGrid w:val="0"/>
              <w:spacing w:line="276" w:lineRule="auto"/>
              <w:rPr>
                <w:rFonts w:ascii="宋体"/>
                <w:sz w:val="24"/>
              </w:rPr>
            </w:pPr>
            <w:r>
              <w:rPr>
                <w:rFonts w:hint="eastAsia" w:ascii="宋体"/>
                <w:sz w:val="24"/>
              </w:rPr>
              <w:t xml:space="preserve">采购人： </w:t>
            </w:r>
            <w:r>
              <w:rPr>
                <w:rFonts w:hint="eastAsia" w:ascii="宋体"/>
                <w:sz w:val="24"/>
                <w:lang w:eastAsia="zh-CN"/>
              </w:rPr>
              <w:t>内蒙古华云新材料有限公司</w:t>
            </w:r>
            <w:r>
              <w:rPr>
                <w:rFonts w:hint="eastAsia" w:ascii="宋体"/>
                <w:sz w:val="24"/>
              </w:rPr>
              <w:t xml:space="preserve"> </w:t>
            </w:r>
          </w:p>
          <w:p>
            <w:pPr>
              <w:snapToGrid w:val="0"/>
              <w:spacing w:line="276" w:lineRule="auto"/>
              <w:rPr>
                <w:rFonts w:hint="default" w:ascii="宋体" w:hAnsi="宋体" w:eastAsia="宋体"/>
                <w:sz w:val="24"/>
                <w:lang w:val="en-US" w:eastAsia="zh-CN"/>
              </w:rPr>
            </w:pPr>
            <w:r>
              <w:rPr>
                <w:rFonts w:hint="eastAsia" w:ascii="宋体"/>
                <w:sz w:val="24"/>
              </w:rPr>
              <w:t>联系人：</w:t>
            </w:r>
            <w:r>
              <w:rPr>
                <w:rFonts w:hint="eastAsia" w:ascii="宋体"/>
                <w:sz w:val="24"/>
                <w:lang w:eastAsia="zh-CN"/>
              </w:rPr>
              <w:t>丁晓斌</w:t>
            </w:r>
            <w:r>
              <w:rPr>
                <w:rFonts w:hint="eastAsia" w:ascii="宋体"/>
                <w:sz w:val="24"/>
              </w:rPr>
              <w:t xml:space="preserve">    </w:t>
            </w:r>
            <w:r>
              <w:rPr>
                <w:rFonts w:ascii="宋体"/>
                <w:sz w:val="24"/>
              </w:rPr>
              <w:t>电 话：</w:t>
            </w:r>
            <w:r>
              <w:rPr>
                <w:rFonts w:hint="eastAsia" w:ascii="宋体"/>
                <w:sz w:val="24"/>
                <w:lang w:val="en-US" w:eastAsia="zh-CN"/>
              </w:rPr>
              <w:t>13190736965  qq</w:t>
            </w:r>
            <w:r>
              <w:rPr>
                <w:rFonts w:hint="eastAsia" w:ascii="宋体" w:hAnsi="宋体"/>
                <w:sz w:val="24"/>
                <w:lang w:val="en-US" w:eastAsia="zh-CN"/>
              </w:rPr>
              <w:t>邮箱：1416328829@qq.com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vAlign w:val="center"/>
          </w:tcPr>
          <w:p>
            <w:pPr>
              <w:spacing w:line="276" w:lineRule="auto"/>
              <w:jc w:val="center"/>
              <w:rPr>
                <w:rFonts w:hint="eastAsia" w:ascii="宋体" w:eastAsia="宋体"/>
                <w:sz w:val="24"/>
                <w:lang w:eastAsia="zh-CN"/>
              </w:rPr>
            </w:pPr>
            <w:r>
              <w:rPr>
                <w:rFonts w:hint="eastAsia" w:ascii="宋体"/>
                <w:sz w:val="24"/>
                <w:lang w:val="en-US" w:eastAsia="zh-CN"/>
              </w:rPr>
              <w:t>2</w:t>
            </w:r>
          </w:p>
        </w:tc>
        <w:tc>
          <w:tcPr>
            <w:tcW w:w="4567" w:type="pct"/>
            <w:vAlign w:val="center"/>
          </w:tcPr>
          <w:p>
            <w:pPr>
              <w:rPr>
                <w:rFonts w:ascii="宋体" w:hAnsi="宋体"/>
                <w:sz w:val="24"/>
              </w:rPr>
            </w:pPr>
            <w:r>
              <w:rPr>
                <w:sz w:val="24"/>
                <w:szCs w:val="24"/>
              </w:rPr>
              <w:t>资</w:t>
            </w:r>
            <w:r>
              <w:rPr>
                <w:rFonts w:ascii="宋体" w:hAnsi="宋体"/>
                <w:sz w:val="24"/>
              </w:rPr>
              <w:t>格要求：</w:t>
            </w:r>
          </w:p>
          <w:p>
            <w:pPr>
              <w:rPr>
                <w:rFonts w:ascii="宋体" w:hAnsi="宋体"/>
                <w:sz w:val="24"/>
              </w:rPr>
            </w:pPr>
            <w:r>
              <w:rPr>
                <w:rFonts w:hint="eastAsia" w:ascii="宋体" w:hAnsi="宋体"/>
                <w:sz w:val="24"/>
              </w:rPr>
              <w:t>1供应商为在中华人民共和国注册的独立法人资格的企业，具有有效履行合同能力的单位，经营范围符合本项目要求。</w:t>
            </w:r>
          </w:p>
          <w:p>
            <w:pPr>
              <w:rPr>
                <w:rFonts w:ascii="宋体" w:hAnsi="宋体"/>
                <w:sz w:val="24"/>
              </w:rPr>
            </w:pPr>
            <w:r>
              <w:rPr>
                <w:rFonts w:hint="eastAsia" w:ascii="宋体" w:hAnsi="宋体"/>
                <w:sz w:val="24"/>
              </w:rPr>
              <w:t>2资质要求：具有职业卫生技术服务机构资质证书乙级及乙级以上（业务范围包括冶金项目）、检验检测机构资质认定证书。</w:t>
            </w:r>
          </w:p>
          <w:p>
            <w:pPr>
              <w:rPr>
                <w:rFonts w:ascii="宋体" w:hAnsi="宋体"/>
                <w:sz w:val="24"/>
              </w:rPr>
            </w:pPr>
            <w:r>
              <w:rPr>
                <w:rFonts w:hint="eastAsia" w:ascii="宋体" w:hAnsi="宋体"/>
                <w:sz w:val="24"/>
              </w:rPr>
              <w:t>3业绩要求：近三年内至少完成一项类似行业业绩（以合同为准）。</w:t>
            </w:r>
          </w:p>
          <w:p>
            <w:pPr>
              <w:rPr>
                <w:rFonts w:ascii="宋体" w:hAnsi="宋体"/>
                <w:sz w:val="24"/>
              </w:rPr>
            </w:pPr>
            <w:r>
              <w:rPr>
                <w:rFonts w:hint="eastAsia" w:ascii="宋体" w:hAnsi="宋体"/>
                <w:sz w:val="24"/>
              </w:rPr>
              <w:t>4财务要求：参加报价的单位必须经营状况良好，具有良好的商业信誉，没有处于被责令停业或破产状态，且资产未被重组、接管和冻结。</w:t>
            </w:r>
          </w:p>
          <w:p>
            <w:pPr>
              <w:rPr>
                <w:rFonts w:ascii="宋体" w:hAnsi="宋体"/>
                <w:sz w:val="24"/>
              </w:rPr>
            </w:pPr>
            <w:r>
              <w:rPr>
                <w:rFonts w:hint="eastAsia" w:ascii="宋体" w:hAnsi="宋体"/>
                <w:sz w:val="24"/>
              </w:rPr>
              <w:t>5</w:t>
            </w:r>
            <w:r>
              <w:rPr>
                <w:rFonts w:ascii="宋体" w:hAnsi="宋体"/>
                <w:sz w:val="24"/>
              </w:rPr>
              <w:t>不接受存在以下情形之一报价单位报价，包括：（1）被工商行政管理机关在全国企业信用信息公示系统中列入严重违法失信企业名单；（2）被最高人民法院在“信用中国”网站（</w:t>
            </w:r>
            <w:r>
              <w:rPr>
                <w:rFonts w:ascii="宋体" w:hAnsi="宋体"/>
                <w:sz w:val="24"/>
              </w:rPr>
              <w:drawing>
                <wp:inline distT="0" distB="0" distL="0" distR="0">
                  <wp:extent cx="142875" cy="142875"/>
                  <wp:effectExtent l="0" t="0" r="0" b="0"/>
                  <wp:docPr id="4" name="图片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W@GJ$ACOF(TYDYECOKVDYB"/>
                          <pic:cNvPicPr>
                            <a:picLocks noChangeAspect="1" noChangeArrowheads="1"/>
                          </pic:cNvPicPr>
                        </pic:nvPicPr>
                        <pic:blipFill>
                          <a:blip r:embed="rId9"/>
                          <a:srcRect/>
                          <a:stretch>
                            <a:fillRect/>
                          </a:stretch>
                        </pic:blipFill>
                        <pic:spPr>
                          <a:xfrm>
                            <a:off x="0" y="0"/>
                            <a:ext cx="142875" cy="142875"/>
                          </a:xfrm>
                          <a:prstGeom prst="rect">
                            <a:avLst/>
                          </a:prstGeom>
                          <a:noFill/>
                          <a:ln w="9525">
                            <a:noFill/>
                            <a:miter lim="800000"/>
                            <a:headEnd/>
                            <a:tailEnd/>
                          </a:ln>
                        </pic:spPr>
                      </pic:pic>
                    </a:graphicData>
                  </a:graphic>
                </wp:inline>
              </w:drawing>
            </w:r>
            <w:r>
              <w:rPr>
                <w:rFonts w:ascii="宋体" w:hAnsi="宋体"/>
                <w:sz w:val="24"/>
              </w:rPr>
              <w:t>www.creditchina.gov.cn）或各级信用信息共享平台中列入失信被执行人名单；（3）列入中铝系统禁止交易企业名单或限制交易企业名单。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vAlign w:val="center"/>
          </w:tcPr>
          <w:p>
            <w:pPr>
              <w:spacing w:line="276" w:lineRule="auto"/>
              <w:jc w:val="center"/>
              <w:rPr>
                <w:rFonts w:hint="eastAsia" w:ascii="宋体" w:hAnsi="宋体" w:eastAsia="宋体"/>
                <w:sz w:val="24"/>
                <w:lang w:eastAsia="zh-CN"/>
              </w:rPr>
            </w:pPr>
            <w:r>
              <w:rPr>
                <w:rFonts w:hint="eastAsia" w:ascii="宋体" w:hAnsi="宋体"/>
                <w:sz w:val="24"/>
                <w:lang w:val="en-US" w:eastAsia="zh-CN"/>
              </w:rPr>
              <w:t>3</w:t>
            </w:r>
          </w:p>
        </w:tc>
        <w:tc>
          <w:tcPr>
            <w:tcW w:w="4567" w:type="pct"/>
            <w:vAlign w:val="center"/>
          </w:tcPr>
          <w:p>
            <w:pPr>
              <w:spacing w:line="276" w:lineRule="auto"/>
              <w:rPr>
                <w:rFonts w:ascii="宋体" w:hAnsi="宋体"/>
                <w:sz w:val="24"/>
              </w:rPr>
            </w:pPr>
            <w:r>
              <w:rPr>
                <w:rFonts w:hint="eastAsia" w:ascii="宋体" w:hAnsi="宋体"/>
                <w:sz w:val="24"/>
              </w:rPr>
              <w:t>采购内容：本项目是</w:t>
            </w:r>
            <w:r>
              <w:rPr>
                <w:rFonts w:hint="eastAsia" w:ascii="宋体" w:hAnsi="宋体"/>
                <w:sz w:val="24"/>
                <w:szCs w:val="24"/>
              </w:rPr>
              <w:t>对</w:t>
            </w:r>
            <w:r>
              <w:rPr>
                <w:rFonts w:hint="eastAsia" w:ascii="宋体" w:hAnsi="宋体"/>
                <w:sz w:val="24"/>
                <w:szCs w:val="24"/>
                <w:lang w:eastAsia="zh-CN"/>
              </w:rPr>
              <w:t>内蒙古华云新材料有限公司</w:t>
            </w:r>
            <w:r>
              <w:rPr>
                <w:rFonts w:hint="eastAsia" w:ascii="宋体" w:hAnsi="宋体"/>
                <w:sz w:val="24"/>
                <w:szCs w:val="24"/>
              </w:rPr>
              <w:t>共</w:t>
            </w:r>
            <w:r>
              <w:rPr>
                <w:rFonts w:hint="eastAsia" w:ascii="宋体" w:hAnsi="宋体"/>
                <w:sz w:val="24"/>
                <w:szCs w:val="24"/>
                <w:lang w:val="en-US" w:eastAsia="zh-CN"/>
              </w:rPr>
              <w:t>5</w:t>
            </w:r>
            <w:r>
              <w:rPr>
                <w:rFonts w:hint="eastAsia" w:ascii="宋体" w:hAnsi="宋体"/>
                <w:sz w:val="24"/>
                <w:szCs w:val="24"/>
              </w:rPr>
              <w:t>个二级单位进行工作场所职业病危害因素</w:t>
            </w:r>
            <w:r>
              <w:rPr>
                <w:rFonts w:hint="eastAsia" w:ascii="宋体" w:hAnsi="宋体"/>
                <w:sz w:val="24"/>
                <w:szCs w:val="24"/>
                <w:lang w:eastAsia="zh-CN"/>
              </w:rPr>
              <w:t>一、</w:t>
            </w:r>
            <w:r>
              <w:rPr>
                <w:rFonts w:hint="eastAsia" w:ascii="宋体" w:hAnsi="宋体"/>
                <w:sz w:val="24"/>
                <w:szCs w:val="24"/>
              </w:rPr>
              <w:t>三季度、四季度日常检测工作及</w:t>
            </w:r>
            <w:r>
              <w:rPr>
                <w:rFonts w:hint="eastAsia" w:ascii="宋体" w:hAnsi="宋体"/>
                <w:sz w:val="24"/>
                <w:szCs w:val="24"/>
                <w:lang w:eastAsia="zh-CN"/>
              </w:rPr>
              <w:t>二季度</w:t>
            </w:r>
            <w:r>
              <w:rPr>
                <w:rFonts w:hint="eastAsia" w:ascii="宋体" w:hAnsi="宋体"/>
                <w:sz w:val="24"/>
                <w:szCs w:val="24"/>
              </w:rPr>
              <w:t>年度检测工作并出具</w:t>
            </w:r>
            <w:r>
              <w:rPr>
                <w:rFonts w:hint="eastAsia" w:ascii="宋体" w:hAnsi="宋体" w:cs="Arial"/>
                <w:sz w:val="24"/>
              </w:rPr>
              <w:t>检测报告，其中包括</w:t>
            </w:r>
            <w:r>
              <w:rPr>
                <w:rFonts w:hint="eastAsia" w:asciiTheme="majorEastAsia" w:hAnsiTheme="majorEastAsia" w:eastAsiaTheme="majorEastAsia" w:cstheme="majorEastAsia"/>
                <w:sz w:val="24"/>
                <w:szCs w:val="24"/>
              </w:rPr>
              <w:t>华云电厂、华云一厂、华云二厂、华云动力厂、华云</w:t>
            </w:r>
            <w:r>
              <w:rPr>
                <w:rFonts w:hint="eastAsia" w:asciiTheme="majorEastAsia" w:hAnsiTheme="majorEastAsia" w:eastAsiaTheme="majorEastAsia" w:cstheme="majorEastAsia"/>
                <w:sz w:val="24"/>
                <w:szCs w:val="24"/>
                <w:lang w:eastAsia="zh-CN"/>
              </w:rPr>
              <w:t>质检</w:t>
            </w:r>
            <w:r>
              <w:rPr>
                <w:rFonts w:hint="eastAsia" w:asciiTheme="majorEastAsia" w:hAnsiTheme="majorEastAsia" w:eastAsiaTheme="majorEastAsia" w:cstheme="majorEastAsia"/>
                <w:sz w:val="24"/>
                <w:szCs w:val="24"/>
              </w:rPr>
              <w:t>中心</w:t>
            </w:r>
            <w:r>
              <w:rPr>
                <w:rFonts w:hint="eastAsia" w:ascii="宋体" w:hAnsi="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vAlign w:val="center"/>
          </w:tcPr>
          <w:p>
            <w:pPr>
              <w:spacing w:line="276" w:lineRule="auto"/>
              <w:jc w:val="center"/>
              <w:rPr>
                <w:rFonts w:hint="eastAsia" w:ascii="宋体" w:eastAsia="宋体"/>
                <w:sz w:val="24"/>
                <w:lang w:eastAsia="zh-CN"/>
              </w:rPr>
            </w:pPr>
            <w:r>
              <w:rPr>
                <w:rFonts w:hint="eastAsia" w:ascii="宋体"/>
                <w:sz w:val="24"/>
                <w:lang w:val="en-US" w:eastAsia="zh-CN"/>
              </w:rPr>
              <w:t>4</w:t>
            </w:r>
          </w:p>
        </w:tc>
        <w:tc>
          <w:tcPr>
            <w:tcW w:w="4567" w:type="pct"/>
          </w:tcPr>
          <w:p>
            <w:pPr>
              <w:spacing w:line="276" w:lineRule="auto"/>
              <w:rPr>
                <w:rFonts w:ascii="宋体"/>
                <w:sz w:val="24"/>
              </w:rPr>
            </w:pPr>
            <w:r>
              <w:rPr>
                <w:rFonts w:hint="eastAsia" w:ascii="宋体"/>
                <w:sz w:val="24"/>
              </w:rPr>
              <w:t>报价要求：</w:t>
            </w:r>
            <w:r>
              <w:rPr>
                <w:rFonts w:hint="eastAsia" w:ascii="宋体" w:hAnsi="宋体"/>
                <w:sz w:val="24"/>
              </w:rPr>
              <w:t>固定单价，预估总价</w:t>
            </w:r>
          </w:p>
          <w:p>
            <w:pPr>
              <w:spacing w:line="276" w:lineRule="auto"/>
              <w:rPr>
                <w:rFonts w:ascii="宋体"/>
                <w:sz w:val="24"/>
              </w:rPr>
            </w:pPr>
            <w:r>
              <w:rPr>
                <w:rFonts w:hint="eastAsia" w:ascii="宋体"/>
                <w:sz w:val="24"/>
              </w:rPr>
              <w:t>报价货币：人民币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tcBorders>
              <w:top w:val="single" w:color="auto" w:sz="12" w:space="0"/>
            </w:tcBorders>
            <w:vAlign w:val="center"/>
          </w:tcPr>
          <w:p>
            <w:pPr>
              <w:spacing w:line="276" w:lineRule="auto"/>
              <w:jc w:val="center"/>
              <w:rPr>
                <w:rFonts w:hint="eastAsia" w:ascii="宋体" w:eastAsia="宋体"/>
                <w:sz w:val="24"/>
                <w:lang w:eastAsia="zh-CN"/>
              </w:rPr>
            </w:pPr>
            <w:r>
              <w:rPr>
                <w:rFonts w:hint="eastAsia" w:ascii="宋体"/>
                <w:sz w:val="24"/>
                <w:lang w:val="en-US" w:eastAsia="zh-CN"/>
              </w:rPr>
              <w:t>5</w:t>
            </w:r>
          </w:p>
        </w:tc>
        <w:tc>
          <w:tcPr>
            <w:tcW w:w="4567" w:type="pct"/>
            <w:tcBorders>
              <w:top w:val="single" w:color="auto" w:sz="12" w:space="0"/>
            </w:tcBorders>
            <w:vAlign w:val="center"/>
          </w:tcPr>
          <w:p>
            <w:pPr>
              <w:tabs>
                <w:tab w:val="left" w:pos="3270"/>
              </w:tabs>
              <w:spacing w:line="276" w:lineRule="auto"/>
              <w:rPr>
                <w:rFonts w:ascii="宋体" w:hAnsi="宋体"/>
                <w:color w:val="000000"/>
                <w:sz w:val="24"/>
                <w:szCs w:val="24"/>
              </w:rPr>
            </w:pPr>
            <w:r>
              <w:rPr>
                <w:rFonts w:hint="eastAsia" w:ascii="宋体" w:hAnsi="宋体"/>
                <w:color w:val="000000"/>
                <w:sz w:val="24"/>
                <w:szCs w:val="24"/>
              </w:rPr>
              <w:t>响应文件要求：</w:t>
            </w:r>
            <w:r>
              <w:rPr>
                <w:rFonts w:ascii="宋体" w:hAnsi="宋体"/>
                <w:color w:val="000000"/>
                <w:sz w:val="24"/>
                <w:szCs w:val="24"/>
              </w:rPr>
              <w:tab/>
            </w:r>
          </w:p>
          <w:p>
            <w:pPr>
              <w:spacing w:line="276" w:lineRule="auto"/>
              <w:rPr>
                <w:rFonts w:ascii="宋体" w:hAnsi="宋体"/>
                <w:color w:val="000000"/>
                <w:sz w:val="24"/>
                <w:szCs w:val="24"/>
              </w:rPr>
            </w:pPr>
            <w:r>
              <w:rPr>
                <w:rFonts w:hint="eastAsia" w:ascii="宋体" w:hAnsi="宋体"/>
                <w:color w:val="000000"/>
                <w:sz w:val="24"/>
                <w:szCs w:val="24"/>
              </w:rPr>
              <w:t>7.1供应商将纸质响应文件密封递交至采购</w:t>
            </w:r>
            <w:r>
              <w:rPr>
                <w:rFonts w:hint="eastAsia" w:ascii="宋体" w:hAnsi="宋体"/>
                <w:color w:val="000000"/>
                <w:sz w:val="24"/>
                <w:szCs w:val="24"/>
                <w:lang w:eastAsia="zh-CN"/>
              </w:rPr>
              <w:t>单位</w:t>
            </w:r>
            <w:r>
              <w:rPr>
                <w:rFonts w:hint="eastAsia" w:ascii="宋体" w:hAnsi="宋体"/>
                <w:color w:val="000000"/>
                <w:sz w:val="24"/>
                <w:szCs w:val="24"/>
              </w:rPr>
              <w:t>。纸质</w:t>
            </w:r>
            <w:r>
              <w:rPr>
                <w:rFonts w:hint="eastAsia" w:ascii="宋体" w:hAnsi="宋体"/>
                <w:sz w:val="24"/>
              </w:rPr>
              <w:t>响应文件采用左侧胶装方式装订。</w:t>
            </w:r>
          </w:p>
          <w:p>
            <w:pPr>
              <w:spacing w:line="276" w:lineRule="auto"/>
              <w:rPr>
                <w:rFonts w:ascii="宋体" w:hAnsi="宋体"/>
                <w:color w:val="000000"/>
                <w:sz w:val="24"/>
                <w:szCs w:val="24"/>
              </w:rPr>
            </w:pPr>
            <w:r>
              <w:rPr>
                <w:rFonts w:hint="eastAsia" w:ascii="宋体" w:hAnsi="宋体"/>
                <w:color w:val="000000"/>
                <w:sz w:val="24"/>
                <w:szCs w:val="24"/>
              </w:rPr>
              <w:t>7.2响应文件份数：</w:t>
            </w:r>
          </w:p>
          <w:p>
            <w:pPr>
              <w:spacing w:line="276" w:lineRule="auto"/>
              <w:rPr>
                <w:rFonts w:ascii="宋体" w:hAnsi="宋体"/>
                <w:sz w:val="24"/>
              </w:rPr>
            </w:pPr>
            <w:r>
              <w:rPr>
                <w:rFonts w:hint="eastAsia" w:ascii="宋体" w:hAnsi="宋体"/>
                <w:color w:val="000000"/>
                <w:sz w:val="24"/>
                <w:szCs w:val="24"/>
              </w:rPr>
              <w:t>7.2.1纸质版：</w:t>
            </w:r>
            <w:r>
              <w:rPr>
                <w:rFonts w:hint="eastAsia" w:ascii="宋体" w:hAnsi="宋体"/>
                <w:sz w:val="24"/>
              </w:rPr>
              <w:t>一</w:t>
            </w:r>
            <w:r>
              <w:rPr>
                <w:rFonts w:hint="eastAsia" w:ascii="宋体" w:hAnsi="宋体"/>
                <w:color w:val="000000"/>
                <w:sz w:val="24"/>
                <w:szCs w:val="24"/>
              </w:rPr>
              <w:t>正</w:t>
            </w:r>
            <w:r>
              <w:rPr>
                <w:rFonts w:hint="eastAsia" w:ascii="宋体" w:hAnsi="宋体"/>
                <w:color w:val="000000"/>
                <w:sz w:val="24"/>
                <w:szCs w:val="24"/>
                <w:lang w:eastAsia="zh-CN"/>
              </w:rPr>
              <w:t>二</w:t>
            </w:r>
            <w:r>
              <w:rPr>
                <w:rFonts w:hint="eastAsia" w:ascii="宋体" w:hAnsi="宋体"/>
                <w:color w:val="000000"/>
                <w:sz w:val="24"/>
                <w:szCs w:val="24"/>
              </w:rPr>
              <w:t>副。</w:t>
            </w:r>
          </w:p>
          <w:p>
            <w:pPr>
              <w:spacing w:line="276" w:lineRule="auto"/>
              <w:rPr>
                <w:rFonts w:ascii="宋体" w:hAnsi="宋体"/>
                <w:color w:val="000000"/>
                <w:sz w:val="24"/>
                <w:szCs w:val="24"/>
              </w:rPr>
            </w:pPr>
            <w:r>
              <w:rPr>
                <w:rFonts w:hint="eastAsia" w:ascii="宋体" w:hAnsi="宋体"/>
                <w:color w:val="000000"/>
                <w:sz w:val="24"/>
                <w:szCs w:val="24"/>
              </w:rPr>
              <w:t>7.2.2电子版： U盘一份，电子文档包括一份可编辑的Word版文件和一份响应文件正本（有盖章签字）的扫描件，需将扫描件编辑在一个PDF或WORD 文档中。</w:t>
            </w:r>
          </w:p>
          <w:p>
            <w:pPr>
              <w:adjustRightInd w:val="0"/>
              <w:spacing w:line="276" w:lineRule="auto"/>
              <w:textAlignment w:val="baseline"/>
              <w:rPr>
                <w:rFonts w:ascii="宋体" w:hAnsi="宋体"/>
                <w:sz w:val="24"/>
              </w:rPr>
            </w:pPr>
            <w:r>
              <w:rPr>
                <w:rFonts w:hint="eastAsia" w:ascii="宋体" w:hAnsi="宋体"/>
                <w:sz w:val="24"/>
              </w:rPr>
              <w:t>7.3</w:t>
            </w:r>
            <w:r>
              <w:rPr>
                <w:rFonts w:ascii="宋体" w:hAnsi="宋体"/>
                <w:sz w:val="24"/>
              </w:rPr>
              <w:t>签字或盖章要求</w:t>
            </w:r>
          </w:p>
          <w:p>
            <w:pPr>
              <w:adjustRightInd w:val="0"/>
              <w:spacing w:line="276" w:lineRule="auto"/>
              <w:textAlignment w:val="baseline"/>
              <w:rPr>
                <w:rFonts w:ascii="宋体" w:hAnsi="宋体"/>
                <w:sz w:val="24"/>
              </w:rPr>
            </w:pPr>
            <w:r>
              <w:rPr>
                <w:rFonts w:hint="eastAsia" w:ascii="宋体" w:hAnsi="宋体"/>
                <w:sz w:val="24"/>
              </w:rPr>
              <w:t>7.3.1供应商</w:t>
            </w:r>
            <w:r>
              <w:rPr>
                <w:rFonts w:ascii="宋体" w:hAnsi="宋体"/>
                <w:sz w:val="24"/>
              </w:rPr>
              <w:t>单位公章</w:t>
            </w:r>
            <w:r>
              <w:rPr>
                <w:rFonts w:hint="eastAsia" w:ascii="宋体" w:hAnsi="宋体"/>
                <w:sz w:val="24"/>
              </w:rPr>
              <w:t>名称</w:t>
            </w:r>
            <w:r>
              <w:rPr>
                <w:rFonts w:ascii="宋体" w:hAnsi="宋体"/>
                <w:sz w:val="24"/>
              </w:rPr>
              <w:t>必须与单位营业执照名称一致；</w:t>
            </w:r>
          </w:p>
          <w:p>
            <w:pPr>
              <w:adjustRightInd w:val="0"/>
              <w:spacing w:line="276" w:lineRule="auto"/>
              <w:textAlignment w:val="baseline"/>
              <w:rPr>
                <w:rFonts w:ascii="宋体" w:hAnsi="宋体"/>
                <w:sz w:val="24"/>
              </w:rPr>
            </w:pPr>
            <w:r>
              <w:rPr>
                <w:rFonts w:hint="eastAsia" w:ascii="宋体" w:hAnsi="宋体"/>
                <w:sz w:val="24"/>
              </w:rPr>
              <w:t>7.3.2授权委托</w:t>
            </w:r>
            <w:r>
              <w:rPr>
                <w:rFonts w:ascii="宋体" w:hAnsi="宋体"/>
                <w:sz w:val="24"/>
              </w:rPr>
              <w:t>书必须由法定代表人</w:t>
            </w:r>
            <w:r>
              <w:rPr>
                <w:rFonts w:hint="eastAsia" w:ascii="宋体" w:hAnsi="宋体"/>
                <w:sz w:val="24"/>
              </w:rPr>
              <w:t>和</w:t>
            </w:r>
            <w:r>
              <w:rPr>
                <w:rFonts w:ascii="宋体" w:hAnsi="宋体"/>
                <w:sz w:val="24"/>
              </w:rPr>
              <w:t>其授权代理人亲笔签署姓名并加盖单位公章；</w:t>
            </w:r>
          </w:p>
          <w:p>
            <w:pPr>
              <w:spacing w:line="276" w:lineRule="auto"/>
              <w:rPr>
                <w:rFonts w:ascii="宋体" w:hAnsi="宋体"/>
                <w:sz w:val="24"/>
              </w:rPr>
            </w:pPr>
            <w:r>
              <w:rPr>
                <w:rFonts w:hint="eastAsia" w:ascii="宋体" w:hAnsi="宋体"/>
                <w:sz w:val="24"/>
              </w:rPr>
              <w:t>7.3.3响应文件</w:t>
            </w:r>
            <w:r>
              <w:rPr>
                <w:rFonts w:ascii="宋体" w:hAnsi="宋体"/>
                <w:sz w:val="24"/>
              </w:rPr>
              <w:t>上</w:t>
            </w:r>
            <w:r>
              <w:rPr>
                <w:rFonts w:hint="eastAsia" w:ascii="宋体" w:hAnsi="宋体"/>
                <w:sz w:val="24"/>
              </w:rPr>
              <w:t>明确</w:t>
            </w:r>
            <w:r>
              <w:rPr>
                <w:rFonts w:ascii="宋体" w:hAnsi="宋体"/>
                <w:sz w:val="24"/>
              </w:rPr>
              <w:t>要求盖章的</w:t>
            </w:r>
            <w:r>
              <w:rPr>
                <w:rFonts w:hint="eastAsia" w:ascii="宋体" w:hAnsi="宋体"/>
                <w:sz w:val="24"/>
              </w:rPr>
              <w:t>位置必须盖章</w:t>
            </w:r>
            <w:r>
              <w:rPr>
                <w:rFonts w:ascii="宋体" w:hAnsi="宋体"/>
                <w:sz w:val="24"/>
              </w:rPr>
              <w:t>。</w:t>
            </w:r>
          </w:p>
          <w:p>
            <w:pPr>
              <w:spacing w:line="276" w:lineRule="auto"/>
              <w:rPr>
                <w:rFonts w:ascii="宋体" w:hAnsi="宋体"/>
                <w:color w:val="000000"/>
                <w:sz w:val="24"/>
                <w:szCs w:val="24"/>
              </w:rPr>
            </w:pPr>
            <w:r>
              <w:rPr>
                <w:rFonts w:hint="eastAsia" w:ascii="宋体" w:hAnsi="宋体"/>
                <w:sz w:val="24"/>
              </w:rPr>
              <w:t>7.3.4有专业资质要求的必须在专业资质上加盖鲜章。</w:t>
            </w:r>
          </w:p>
          <w:p>
            <w:pPr>
              <w:spacing w:line="276" w:lineRule="auto"/>
              <w:rPr>
                <w:rFonts w:ascii="宋体" w:hAnsi="宋体"/>
                <w:sz w:val="24"/>
                <w:szCs w:val="24"/>
              </w:rPr>
            </w:pPr>
            <w:r>
              <w:rPr>
                <w:rFonts w:hint="eastAsia" w:ascii="宋体" w:hAnsi="宋体"/>
                <w:color w:val="000000"/>
                <w:sz w:val="24"/>
                <w:szCs w:val="24"/>
              </w:rPr>
              <w:t>7.</w:t>
            </w:r>
            <w:r>
              <w:rPr>
                <w:rFonts w:hint="eastAsia" w:ascii="宋体" w:hAnsi="宋体"/>
                <w:sz w:val="24"/>
                <w:szCs w:val="24"/>
              </w:rPr>
              <w:t>4响应文件密封：</w:t>
            </w:r>
          </w:p>
          <w:p>
            <w:pPr>
              <w:spacing w:line="276" w:lineRule="auto"/>
              <w:rPr>
                <w:rFonts w:ascii="宋体" w:hAnsi="宋体"/>
                <w:sz w:val="24"/>
                <w:szCs w:val="24"/>
              </w:rPr>
            </w:pPr>
            <w:r>
              <w:rPr>
                <w:rFonts w:hint="eastAsia" w:ascii="宋体" w:hAnsi="宋体"/>
                <w:color w:val="000000"/>
                <w:sz w:val="24"/>
                <w:szCs w:val="24"/>
              </w:rPr>
              <w:t>7.</w:t>
            </w:r>
            <w:r>
              <w:rPr>
                <w:rFonts w:hint="eastAsia" w:ascii="宋体" w:hAnsi="宋体"/>
                <w:sz w:val="24"/>
                <w:szCs w:val="24"/>
              </w:rPr>
              <w:t>4.1纸质报价函、报价表和响应文件电子版（U盘）密封在同一个信封内；</w:t>
            </w:r>
          </w:p>
          <w:p>
            <w:pPr>
              <w:spacing w:line="276" w:lineRule="auto"/>
              <w:rPr>
                <w:rFonts w:ascii="宋体" w:hAnsi="宋体"/>
                <w:sz w:val="24"/>
                <w:szCs w:val="24"/>
              </w:rPr>
            </w:pPr>
            <w:r>
              <w:rPr>
                <w:rFonts w:hint="eastAsia" w:ascii="宋体" w:hAnsi="宋体"/>
                <w:color w:val="000000"/>
                <w:sz w:val="24"/>
                <w:szCs w:val="24"/>
              </w:rPr>
              <w:t>7.</w:t>
            </w:r>
            <w:r>
              <w:rPr>
                <w:rFonts w:hint="eastAsia" w:ascii="宋体" w:hAnsi="宋体"/>
                <w:sz w:val="24"/>
                <w:szCs w:val="24"/>
              </w:rPr>
              <w:t>4.2正本和所有副本分别单独包封</w:t>
            </w:r>
            <w:r>
              <w:rPr>
                <w:rFonts w:ascii="宋体" w:hAnsi="宋体"/>
                <w:sz w:val="24"/>
                <w:szCs w:val="24"/>
              </w:rPr>
              <w:t>并注明“正本”“副本”</w:t>
            </w:r>
            <w:r>
              <w:rPr>
                <w:rFonts w:hint="eastAsia" w:ascii="宋体" w:hAnsi="宋体"/>
                <w:sz w:val="24"/>
                <w:szCs w:val="24"/>
              </w:rPr>
              <w:t>字样。</w:t>
            </w:r>
          </w:p>
          <w:p>
            <w:pPr>
              <w:spacing w:line="276" w:lineRule="auto"/>
              <w:rPr>
                <w:rFonts w:ascii="宋体" w:hAnsi="宋体"/>
                <w:sz w:val="24"/>
                <w:szCs w:val="24"/>
              </w:rPr>
            </w:pPr>
            <w:r>
              <w:rPr>
                <w:rFonts w:hint="eastAsia" w:ascii="宋体" w:hAnsi="宋体"/>
                <w:color w:val="000000"/>
                <w:sz w:val="24"/>
                <w:szCs w:val="24"/>
              </w:rPr>
              <w:t>7.</w:t>
            </w:r>
            <w:r>
              <w:rPr>
                <w:rFonts w:hint="eastAsia" w:ascii="宋体" w:hAnsi="宋体"/>
                <w:sz w:val="24"/>
                <w:szCs w:val="24"/>
              </w:rPr>
              <w:t>4.3副本可密封在同一个单独的信封内；</w:t>
            </w:r>
          </w:p>
          <w:p>
            <w:pPr>
              <w:spacing w:line="276" w:lineRule="auto"/>
              <w:rPr>
                <w:rFonts w:ascii="宋体" w:hAnsi="宋体"/>
                <w:sz w:val="24"/>
                <w:szCs w:val="24"/>
              </w:rPr>
            </w:pPr>
            <w:r>
              <w:rPr>
                <w:rFonts w:hint="eastAsia" w:ascii="宋体" w:hAnsi="宋体"/>
                <w:color w:val="000000"/>
                <w:sz w:val="24"/>
                <w:szCs w:val="24"/>
              </w:rPr>
              <w:t>7.</w:t>
            </w:r>
            <w:r>
              <w:rPr>
                <w:rFonts w:hint="eastAsia" w:ascii="宋体" w:hAnsi="宋体"/>
                <w:sz w:val="24"/>
                <w:szCs w:val="24"/>
              </w:rPr>
              <w:t>4.4报价时，须将上述四个单独的密封包同时递交。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tcBorders>
              <w:top w:val="single" w:color="auto" w:sz="12" w:space="0"/>
            </w:tcBorders>
            <w:vAlign w:val="center"/>
          </w:tcPr>
          <w:p>
            <w:pPr>
              <w:spacing w:line="276" w:lineRule="auto"/>
              <w:jc w:val="center"/>
              <w:rPr>
                <w:rFonts w:hint="eastAsia" w:ascii="宋体" w:eastAsia="宋体"/>
                <w:sz w:val="24"/>
                <w:lang w:eastAsia="zh-CN"/>
              </w:rPr>
            </w:pPr>
            <w:r>
              <w:rPr>
                <w:rFonts w:hint="eastAsia" w:ascii="宋体"/>
                <w:sz w:val="24"/>
                <w:lang w:val="en-US" w:eastAsia="zh-CN"/>
              </w:rPr>
              <w:t>6</w:t>
            </w:r>
          </w:p>
        </w:tc>
        <w:tc>
          <w:tcPr>
            <w:tcW w:w="4567" w:type="pct"/>
            <w:tcBorders>
              <w:top w:val="single" w:color="auto" w:sz="12" w:space="0"/>
            </w:tcBorders>
            <w:vAlign w:val="center"/>
          </w:tcPr>
          <w:p>
            <w:pPr>
              <w:pStyle w:val="2"/>
              <w:ind w:left="0" w:leftChars="0" w:firstLine="0" w:firstLineChars="0"/>
              <w:rPr>
                <w:rFonts w:hint="default" w:eastAsia="宋体"/>
                <w:b/>
                <w:bCs w:val="0"/>
                <w:color w:val="FF0000"/>
                <w:lang w:val="en-US" w:eastAsia="zh-CN"/>
              </w:rPr>
            </w:pPr>
            <w:r>
              <w:rPr>
                <w:rFonts w:hint="eastAsia"/>
                <w:b/>
                <w:bCs w:val="0"/>
                <w:lang w:eastAsia="zh-CN"/>
              </w:rPr>
              <w:t>报名方式及截止日期：</w:t>
            </w:r>
            <w:r>
              <w:rPr>
                <w:rFonts w:hint="eastAsia"/>
                <w:b/>
                <w:bCs w:val="0"/>
                <w:color w:val="FF0000"/>
                <w:lang w:eastAsia="zh-CN"/>
              </w:rPr>
              <w:t>将报名函及营业执照副本复印件、相关资质复印件盖章后扫描发至</w:t>
            </w:r>
            <w:r>
              <w:rPr>
                <w:rFonts w:hint="eastAsia"/>
                <w:b/>
                <w:bCs w:val="0"/>
                <w:color w:val="FF0000"/>
                <w:lang w:val="en-US" w:eastAsia="zh-CN"/>
              </w:rPr>
              <w:t>邮箱：1416328829@qq.com,报名截止日期：2022年3月8日18:00，越期不再接受。</w:t>
            </w:r>
          </w:p>
          <w:p>
            <w:pPr>
              <w:spacing w:line="276" w:lineRule="auto"/>
            </w:pPr>
            <w:r>
              <w:rPr>
                <w:rFonts w:hint="eastAsia"/>
                <w:b/>
                <w:bCs/>
              </w:rPr>
              <w:t>响应文件递交截止时间：</w:t>
            </w:r>
            <w:r>
              <w:rPr>
                <w:rFonts w:hint="eastAsia"/>
              </w:rPr>
              <w:t xml:space="preserve"> 202</w:t>
            </w:r>
            <w:r>
              <w:rPr>
                <w:rFonts w:hint="eastAsia"/>
                <w:lang w:val="en-US" w:eastAsia="zh-CN"/>
              </w:rPr>
              <w:t>2</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r>
              <w:rPr>
                <w:rFonts w:hint="eastAsia"/>
                <w:lang w:eastAsia="zh-CN"/>
              </w:rPr>
              <w:t>下午</w:t>
            </w:r>
            <w:r>
              <w:rPr>
                <w:rFonts w:hint="eastAsia"/>
                <w:lang w:val="en-US" w:eastAsia="zh-CN"/>
              </w:rPr>
              <w:t>2</w:t>
            </w:r>
            <w:r>
              <w:rPr>
                <w:rFonts w:hint="eastAsia"/>
              </w:rPr>
              <w:t>:30（北京时间）</w:t>
            </w:r>
          </w:p>
          <w:p>
            <w:pPr>
              <w:spacing w:line="276" w:lineRule="auto"/>
              <w:rPr>
                <w:rFonts w:hint="eastAsia"/>
              </w:rPr>
            </w:pPr>
            <w:r>
              <w:rPr>
                <w:rFonts w:hint="eastAsia"/>
                <w:b/>
                <w:bCs/>
              </w:rPr>
              <w:t>响应文件递交及谈判地点：</w:t>
            </w:r>
            <w:r>
              <w:rPr>
                <w:rFonts w:hint="eastAsia"/>
              </w:rPr>
              <w:t>内蒙古包头市东河区</w:t>
            </w:r>
            <w:r>
              <w:rPr>
                <w:rFonts w:hint="eastAsia"/>
                <w:lang w:eastAsia="zh-CN"/>
              </w:rPr>
              <w:t>包头铝业有限公司股份楼东副楼</w:t>
            </w:r>
            <w:r>
              <w:rPr>
                <w:rFonts w:hint="eastAsia"/>
                <w:lang w:val="en-US" w:eastAsia="zh-CN"/>
              </w:rPr>
              <w:t>332房间</w:t>
            </w:r>
            <w:r>
              <w:rPr>
                <w:rFonts w:hint="eastAsia"/>
              </w:rPr>
              <w:t>。</w:t>
            </w:r>
          </w:p>
          <w:p>
            <w:pPr>
              <w:spacing w:line="276" w:lineRule="auto"/>
              <w:rPr>
                <w:rFonts w:ascii="宋体" w:hAnsi="宋体"/>
                <w:sz w:val="24"/>
                <w:szCs w:val="24"/>
              </w:rPr>
            </w:pPr>
            <w:r>
              <w:rPr>
                <w:rFonts w:hint="eastAsia"/>
                <w:b/>
                <w:bCs/>
                <w:lang w:eastAsia="zh-CN"/>
              </w:rPr>
              <w:t>开标时间：</w:t>
            </w:r>
            <w:r>
              <w:rPr>
                <w:rFonts w:hint="eastAsia"/>
                <w:lang w:val="en-US" w:eastAsia="zh-CN"/>
              </w:rPr>
              <w:t>2022年3月11日，因疫情不能现场开标或推迟开标另行通知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6" w:hRule="atLeast"/>
          <w:jc w:val="center"/>
        </w:trPr>
        <w:tc>
          <w:tcPr>
            <w:tcW w:w="432" w:type="pct"/>
            <w:tcBorders>
              <w:top w:val="single" w:color="auto" w:sz="12" w:space="0"/>
            </w:tcBorders>
            <w:vAlign w:val="center"/>
          </w:tcPr>
          <w:p>
            <w:pPr>
              <w:spacing w:line="276" w:lineRule="auto"/>
              <w:jc w:val="center"/>
              <w:rPr>
                <w:rFonts w:hint="eastAsia" w:ascii="宋体" w:eastAsia="宋体"/>
                <w:sz w:val="24"/>
                <w:lang w:eastAsia="zh-CN"/>
              </w:rPr>
            </w:pPr>
            <w:r>
              <w:rPr>
                <w:rFonts w:hint="eastAsia" w:ascii="宋体"/>
                <w:sz w:val="24"/>
                <w:lang w:val="en-US" w:eastAsia="zh-CN"/>
              </w:rPr>
              <w:t>7</w:t>
            </w:r>
          </w:p>
        </w:tc>
        <w:tc>
          <w:tcPr>
            <w:tcW w:w="4567" w:type="pct"/>
            <w:tcBorders>
              <w:top w:val="single" w:color="auto" w:sz="12" w:space="0"/>
            </w:tcBorders>
            <w:vAlign w:val="center"/>
          </w:tcPr>
          <w:p>
            <w:pPr>
              <w:adjustRightInd w:val="0"/>
              <w:snapToGrid w:val="0"/>
              <w:rPr>
                <w:rFonts w:ascii="宋体" w:hAnsi="宋体"/>
                <w:sz w:val="24"/>
              </w:rPr>
            </w:pPr>
            <w:r>
              <w:rPr>
                <w:rFonts w:hint="eastAsia" w:ascii="宋体" w:hAnsi="宋体"/>
                <w:sz w:val="24"/>
              </w:rPr>
              <w:t>付款方式：</w:t>
            </w:r>
            <w:r>
              <w:rPr>
                <w:rFonts w:ascii="宋体" w:hAnsi="宋体"/>
                <w:sz w:val="24"/>
              </w:rPr>
              <w:t xml:space="preserve"> </w:t>
            </w:r>
          </w:p>
          <w:p>
            <w:pPr>
              <w:pStyle w:val="49"/>
              <w:spacing w:before="0" w:beforeAutospacing="0" w:after="0" w:afterAutospacing="0"/>
              <w:rPr>
                <w:rFonts w:cs="Times New Roman"/>
                <w:kern w:val="2"/>
              </w:rPr>
            </w:pPr>
            <w:r>
              <w:rPr>
                <w:rFonts w:hint="eastAsia" w:cs="Times New Roman"/>
                <w:kern w:val="2"/>
              </w:rPr>
              <w:t>完成所有现场检测、出具报告书后，一次性支付100%</w:t>
            </w:r>
            <w:r>
              <w:rPr>
                <w:rFonts w:hint="eastAsia" w:cs="Times New Roman"/>
                <w:kern w:val="2"/>
                <w:lang w:eastAsia="zh-CN"/>
              </w:rPr>
              <w:t>（现金或承兑）</w:t>
            </w:r>
            <w:r>
              <w:rPr>
                <w:rFonts w:hint="eastAsia" w:cs="Times New Roman"/>
                <w:kern w:val="2"/>
              </w:rPr>
              <w:t>；</w:t>
            </w:r>
          </w:p>
          <w:p>
            <w:pPr>
              <w:pStyle w:val="49"/>
              <w:spacing w:before="0" w:beforeAutospacing="0" w:after="0" w:afterAutospacing="0"/>
            </w:pPr>
            <w:r>
              <w:rPr>
                <w:rFonts w:hint="eastAsia" w:cs="Times New Roman"/>
                <w:kern w:val="2"/>
              </w:rPr>
              <w:t>发票类型：出具6%增值税专用发票一份。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tcBorders>
              <w:top w:val="single" w:color="auto" w:sz="12" w:space="0"/>
            </w:tcBorders>
            <w:vAlign w:val="center"/>
          </w:tcPr>
          <w:p>
            <w:pPr>
              <w:spacing w:line="276" w:lineRule="auto"/>
              <w:jc w:val="center"/>
              <w:rPr>
                <w:rFonts w:hint="eastAsia" w:ascii="宋体" w:eastAsia="宋体"/>
                <w:sz w:val="24"/>
                <w:lang w:eastAsia="zh-CN"/>
              </w:rPr>
            </w:pPr>
            <w:r>
              <w:rPr>
                <w:rFonts w:hint="eastAsia" w:ascii="宋体"/>
                <w:sz w:val="24"/>
                <w:lang w:val="en-US" w:eastAsia="zh-CN"/>
              </w:rPr>
              <w:t>8</w:t>
            </w:r>
          </w:p>
        </w:tc>
        <w:tc>
          <w:tcPr>
            <w:tcW w:w="4567" w:type="pct"/>
            <w:tcBorders>
              <w:top w:val="single" w:color="auto" w:sz="12" w:space="0"/>
            </w:tcBorders>
          </w:tcPr>
          <w:p>
            <w:pPr>
              <w:rPr>
                <w:sz w:val="24"/>
              </w:rPr>
            </w:pPr>
            <w:r>
              <w:rPr>
                <w:rFonts w:hint="eastAsia"/>
                <w:sz w:val="24"/>
              </w:rPr>
              <w:t>工期要求：</w:t>
            </w:r>
          </w:p>
          <w:p>
            <w:pPr>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合同签订后在每季度</w:t>
            </w:r>
            <w:r>
              <w:rPr>
                <w:rFonts w:hint="eastAsia" w:ascii="宋体" w:hAnsi="宋体" w:eastAsia="宋体" w:cs="宋体"/>
                <w:sz w:val="24"/>
                <w:szCs w:val="24"/>
                <w:lang w:eastAsia="zh-CN"/>
              </w:rPr>
              <w:t>末</w:t>
            </w:r>
            <w:r>
              <w:rPr>
                <w:rFonts w:hint="eastAsia" w:ascii="宋体" w:hAnsi="宋体" w:eastAsia="宋体" w:cs="宋体"/>
                <w:sz w:val="24"/>
                <w:szCs w:val="24"/>
              </w:rPr>
              <w:t>完成</w:t>
            </w:r>
            <w:r>
              <w:rPr>
                <w:rFonts w:hint="eastAsia" w:ascii="宋体" w:hAnsi="宋体" w:eastAsia="宋体" w:cs="宋体"/>
                <w:sz w:val="24"/>
                <w:szCs w:val="24"/>
                <w:lang w:eastAsia="zh-CN"/>
              </w:rPr>
              <w:t>本季度</w:t>
            </w:r>
            <w:r>
              <w:rPr>
                <w:rFonts w:hint="eastAsia" w:ascii="宋体" w:hAnsi="宋体" w:eastAsia="宋体" w:cs="宋体"/>
                <w:sz w:val="24"/>
                <w:szCs w:val="24"/>
              </w:rPr>
              <w:t>现场检测工作并出具检测结果报告书</w:t>
            </w:r>
            <w:r>
              <w:rPr>
                <w:rFonts w:hint="eastAsia" w:ascii="宋体" w:hAnsi="宋体" w:eastAsia="宋体" w:cs="宋体"/>
                <w:sz w:val="24"/>
                <w:szCs w:val="24"/>
                <w:lang w:eastAsia="zh-CN"/>
              </w:rPr>
              <w:t>。两项工作按季度开展，其中第二季度末开展</w:t>
            </w:r>
            <w:r>
              <w:rPr>
                <w:rFonts w:hint="eastAsia" w:ascii="宋体" w:hAnsi="宋体" w:eastAsia="宋体" w:cs="宋体"/>
                <w:color w:val="000000"/>
                <w:sz w:val="24"/>
                <w:szCs w:val="24"/>
              </w:rPr>
              <w:t>职业危害因素</w:t>
            </w:r>
            <w:r>
              <w:rPr>
                <w:rFonts w:hint="eastAsia" w:ascii="宋体" w:hAnsi="宋体" w:eastAsia="宋体" w:cs="宋体"/>
                <w:color w:val="000000"/>
                <w:sz w:val="24"/>
                <w:szCs w:val="24"/>
                <w:lang w:eastAsia="zh-CN"/>
              </w:rPr>
              <w:t>年度</w:t>
            </w:r>
            <w:r>
              <w:rPr>
                <w:rFonts w:hint="eastAsia" w:ascii="宋体" w:hAnsi="宋体" w:eastAsia="宋体" w:cs="宋体"/>
                <w:color w:val="000000"/>
                <w:sz w:val="24"/>
                <w:szCs w:val="24"/>
              </w:rPr>
              <w:t>检测工作</w:t>
            </w:r>
            <w:r>
              <w:rPr>
                <w:rFonts w:hint="eastAsia" w:ascii="宋体" w:hAnsi="宋体" w:eastAsia="宋体" w:cs="宋体"/>
                <w:color w:val="000000"/>
                <w:sz w:val="24"/>
                <w:szCs w:val="24"/>
                <w:lang w:eastAsia="zh-CN"/>
              </w:rPr>
              <w:t>，其他三个季度各进行一次</w:t>
            </w:r>
            <w:r>
              <w:rPr>
                <w:rFonts w:hint="eastAsia" w:ascii="宋体" w:hAnsi="宋体" w:eastAsia="宋体" w:cs="宋体"/>
                <w:sz w:val="24"/>
                <w:szCs w:val="24"/>
                <w:lang w:val="en-US" w:eastAsia="zh-CN"/>
              </w:rPr>
              <w:t>日常检测工作</w:t>
            </w:r>
            <w:r>
              <w:rPr>
                <w:rFonts w:hint="eastAsia" w:ascii="宋体" w:hAnsi="宋体" w:cs="宋体"/>
                <w:sz w:val="24"/>
                <w:szCs w:val="24"/>
                <w:lang w:val="en-US" w:eastAsia="zh-CN"/>
              </w:rPr>
              <w:t>，</w:t>
            </w:r>
            <w:r>
              <w:rPr>
                <w:rFonts w:hint="eastAsia" w:ascii="宋体" w:hAnsi="宋体" w:eastAsia="宋体" w:cs="宋体"/>
                <w:sz w:val="24"/>
                <w:szCs w:val="24"/>
              </w:rPr>
              <w:t>检测工作完成后</w:t>
            </w:r>
            <w:r>
              <w:rPr>
                <w:rFonts w:hint="eastAsia" w:ascii="宋体" w:hAnsi="宋体" w:eastAsia="宋体" w:cs="宋体"/>
                <w:sz w:val="24"/>
                <w:szCs w:val="24"/>
                <w:lang w:val="en-US" w:eastAsia="zh-CN"/>
              </w:rPr>
              <w:t>20</w:t>
            </w:r>
            <w:r>
              <w:rPr>
                <w:rFonts w:hint="eastAsia" w:ascii="宋体" w:hAnsi="宋体" w:eastAsia="宋体" w:cs="宋体"/>
                <w:sz w:val="24"/>
                <w:szCs w:val="24"/>
              </w:rPr>
              <w:t>个日历天出具检测评价报告书</w:t>
            </w:r>
            <w:r>
              <w:rPr>
                <w:rFonts w:hint="eastAsia" w:ascii="宋体" w:hAnsi="宋体" w:eastAsia="宋体" w:cs="宋体"/>
                <w:sz w:val="24"/>
                <w:szCs w:val="24"/>
                <w:lang w:eastAsia="zh-CN"/>
              </w:rPr>
              <w:t>；</w:t>
            </w:r>
          </w:p>
          <w:p>
            <w:pPr>
              <w:rPr>
                <w:rFonts w:ascii="宋体" w:hAnsi="宋体"/>
                <w:sz w:val="24"/>
                <w:szCs w:val="24"/>
              </w:rPr>
            </w:pPr>
            <w:r>
              <w:rPr>
                <w:rFonts w:hint="eastAsia" w:ascii="宋体" w:hAnsi="宋体"/>
                <w:sz w:val="24"/>
                <w:szCs w:val="24"/>
              </w:rPr>
              <w:t>实施地点：包头市东河区包铝工业园区包头铝业有限公司厂区。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vAlign w:val="center"/>
          </w:tcPr>
          <w:p>
            <w:pPr>
              <w:spacing w:line="276" w:lineRule="auto"/>
              <w:jc w:val="center"/>
              <w:rPr>
                <w:rFonts w:hint="eastAsia" w:ascii="宋体" w:eastAsia="宋体"/>
                <w:sz w:val="24"/>
                <w:lang w:eastAsia="zh-CN"/>
              </w:rPr>
            </w:pPr>
            <w:r>
              <w:rPr>
                <w:rFonts w:hint="eastAsia" w:ascii="宋体"/>
                <w:sz w:val="24"/>
                <w:lang w:val="en-US" w:eastAsia="zh-CN"/>
              </w:rPr>
              <w:t>9</w:t>
            </w:r>
          </w:p>
        </w:tc>
        <w:tc>
          <w:tcPr>
            <w:tcW w:w="4567" w:type="pct"/>
          </w:tcPr>
          <w:p>
            <w:pPr>
              <w:rPr>
                <w:rFonts w:ascii="宋体" w:hAnsi="宋体"/>
                <w:sz w:val="24"/>
                <w:szCs w:val="24"/>
              </w:rPr>
            </w:pPr>
            <w:r>
              <w:rPr>
                <w:rFonts w:hint="eastAsia" w:ascii="宋体" w:hAnsi="宋体"/>
                <w:sz w:val="24"/>
                <w:szCs w:val="24"/>
              </w:rPr>
              <w:t>本项目监督机构：包头铝业有限公司</w:t>
            </w:r>
            <w:r>
              <w:rPr>
                <w:rFonts w:hint="eastAsia" w:ascii="宋体" w:hAnsi="宋体"/>
                <w:sz w:val="24"/>
                <w:szCs w:val="24"/>
                <w:lang w:eastAsia="zh-CN"/>
              </w:rPr>
              <w:t>纪委工作</w:t>
            </w:r>
            <w:r>
              <w:rPr>
                <w:rFonts w:hint="eastAsia" w:ascii="宋体" w:hAnsi="宋体"/>
                <w:sz w:val="24"/>
                <w:szCs w:val="24"/>
              </w:rPr>
              <w:t>部</w:t>
            </w:r>
          </w:p>
          <w:p>
            <w:pPr>
              <w:spacing w:line="276" w:lineRule="auto"/>
              <w:rPr>
                <w:rFonts w:ascii="宋体" w:hAnsi="宋体"/>
              </w:rPr>
            </w:pPr>
            <w:r>
              <w:rPr>
                <w:rFonts w:ascii="宋体" w:hAnsi="宋体"/>
                <w:sz w:val="24"/>
              </w:rPr>
              <w:t>联系人：</w:t>
            </w:r>
            <w:r>
              <w:rPr>
                <w:rFonts w:hint="eastAsia" w:ascii="宋体" w:hAnsi="宋体"/>
                <w:sz w:val="24"/>
              </w:rPr>
              <w:t xml:space="preserve">苏女士     </w:t>
            </w:r>
            <w:r>
              <w:rPr>
                <w:rFonts w:ascii="宋体" w:hAnsi="宋体"/>
                <w:sz w:val="24"/>
                <w:szCs w:val="24"/>
              </w:rPr>
              <w:t>电 话：0472-6936270    邮箱：</w:t>
            </w:r>
            <w:r>
              <w:rPr>
                <w:rFonts w:ascii="宋体" w:hAnsi="宋体"/>
                <w:sz w:val="24"/>
              </w:rPr>
              <w:t>btlyjw123@163.com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tcBorders>
              <w:top w:val="single" w:color="auto" w:sz="6" w:space="0"/>
              <w:left w:val="single" w:color="auto" w:sz="12" w:space="0"/>
              <w:bottom w:val="single" w:color="auto" w:sz="12" w:space="0"/>
              <w:right w:val="single" w:color="auto" w:sz="6" w:space="0"/>
            </w:tcBorders>
            <w:vAlign w:val="center"/>
          </w:tcPr>
          <w:p>
            <w:pPr>
              <w:spacing w:line="276" w:lineRule="auto"/>
              <w:jc w:val="center"/>
              <w:rPr>
                <w:rFonts w:hint="default" w:ascii="宋体" w:eastAsia="宋体"/>
                <w:sz w:val="24"/>
                <w:lang w:val="en-US" w:eastAsia="zh-CN"/>
              </w:rPr>
            </w:pPr>
            <w:bookmarkStart w:id="0" w:name="_Toc182404096"/>
            <w:bookmarkStart w:id="1" w:name="_Toc116272305"/>
            <w:r>
              <w:rPr>
                <w:rFonts w:hint="eastAsia" w:ascii="宋体"/>
                <w:sz w:val="24"/>
                <w:lang w:val="en-US" w:eastAsia="zh-CN"/>
              </w:rPr>
              <w:t>10</w:t>
            </w:r>
          </w:p>
        </w:tc>
        <w:tc>
          <w:tcPr>
            <w:tcW w:w="4567" w:type="pct"/>
            <w:tcBorders>
              <w:top w:val="single" w:color="auto" w:sz="6" w:space="0"/>
              <w:left w:val="single" w:color="auto" w:sz="6" w:space="0"/>
              <w:bottom w:val="single" w:color="auto" w:sz="12" w:space="0"/>
              <w:right w:val="single" w:color="auto" w:sz="12" w:space="0"/>
            </w:tcBorders>
          </w:tcPr>
          <w:p>
            <w:pPr>
              <w:rPr>
                <w:rFonts w:ascii="宋体" w:hAnsi="宋体"/>
                <w:sz w:val="24"/>
                <w:szCs w:val="24"/>
              </w:rPr>
            </w:pPr>
            <w:r>
              <w:rPr>
                <w:rFonts w:hint="eastAsia" w:ascii="宋体" w:hAnsi="宋体"/>
                <w:sz w:val="24"/>
                <w:szCs w:val="24"/>
              </w:rPr>
              <w:t>设备采用的专利涉及到的全部费用均被认为已包含在总报价中，供应商保证采购方不承担有关设备专利的一切责任。</w:t>
            </w:r>
          </w:p>
        </w:tc>
      </w:tr>
    </w:tbl>
    <w:p>
      <w:pPr>
        <w:spacing w:line="360" w:lineRule="auto"/>
        <w:rPr>
          <w:rFonts w:ascii="宋体" w:hAnsi="宋体"/>
          <w:b/>
          <w:sz w:val="24"/>
          <w:szCs w:val="24"/>
        </w:rPr>
      </w:pPr>
      <w:r>
        <w:rPr>
          <w:rFonts w:hint="eastAsia" w:ascii="宋体" w:hAnsi="宋体"/>
          <w:b/>
          <w:sz w:val="24"/>
        </w:rPr>
        <w:t>1、</w:t>
      </w:r>
      <w:r>
        <w:rPr>
          <w:rFonts w:hint="eastAsia" w:ascii="宋体" w:hAnsi="宋体"/>
          <w:b/>
          <w:sz w:val="24"/>
          <w:szCs w:val="24"/>
        </w:rPr>
        <w:t>报价截止日期</w:t>
      </w:r>
    </w:p>
    <w:p>
      <w:pPr>
        <w:spacing w:line="360" w:lineRule="auto"/>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.1供应商必须在采购文件规定的提交响应文件截止时间前，将响应文件送达采购文件规定的地点。</w:t>
      </w:r>
    </w:p>
    <w:p>
      <w:pPr>
        <w:spacing w:line="360" w:lineRule="auto"/>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.2迟交的响应文件</w:t>
      </w:r>
    </w:p>
    <w:p>
      <w:pPr>
        <w:spacing w:line="360" w:lineRule="auto"/>
        <w:rPr>
          <w:rFonts w:ascii="宋体" w:hAnsi="宋体"/>
          <w:sz w:val="24"/>
          <w:szCs w:val="24"/>
        </w:rPr>
      </w:pPr>
      <w:r>
        <w:rPr>
          <w:rFonts w:hint="eastAsia" w:ascii="宋体" w:hAnsi="宋体"/>
          <w:sz w:val="24"/>
          <w:szCs w:val="24"/>
        </w:rPr>
        <w:t>谈判小组将拒绝并原封退回在规定的截止时间后收到的任何响应文件。</w:t>
      </w:r>
    </w:p>
    <w:p>
      <w:pPr>
        <w:spacing w:line="360" w:lineRule="auto"/>
        <w:jc w:val="left"/>
        <w:rPr>
          <w:rFonts w:ascii="宋体" w:hAnsi="宋体"/>
          <w:b/>
          <w:sz w:val="24"/>
        </w:rPr>
      </w:pPr>
      <w:r>
        <w:rPr>
          <w:rFonts w:hint="eastAsia" w:ascii="宋体" w:hAnsi="宋体"/>
          <w:b/>
          <w:sz w:val="24"/>
          <w:lang w:val="en-US" w:eastAsia="zh-CN"/>
        </w:rPr>
        <w:t>2</w:t>
      </w:r>
      <w:r>
        <w:rPr>
          <w:rFonts w:hint="eastAsia" w:ascii="宋体" w:hAnsi="宋体"/>
          <w:b/>
          <w:sz w:val="24"/>
        </w:rPr>
        <w:t>、响应文件的补充，修改和撤回</w:t>
      </w:r>
    </w:p>
    <w:p>
      <w:pPr>
        <w:spacing w:line="360" w:lineRule="auto"/>
        <w:ind w:firstLine="465" w:firstLineChars="194"/>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.1供应商可以补充、修改或撤回其响应文件，但必须在报价截止时间之前以书面形式通知委托采购机构，相应部分以最后的补充和修改为准。</w:t>
      </w:r>
    </w:p>
    <w:p>
      <w:pPr>
        <w:spacing w:line="360" w:lineRule="auto"/>
        <w:ind w:firstLine="465" w:firstLineChars="194"/>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.2 供应商的补充、修改或撤回通知书应按规定进行编写、密封、标注和递送，并注明“修改响应文件”或“撤销报价”字样。该书面材料由供应商法定代表人或其授权人签字并加盖公章。</w:t>
      </w:r>
    </w:p>
    <w:p>
      <w:pPr>
        <w:spacing w:line="360" w:lineRule="auto"/>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.3报价截止日期后，采购人和采购机构不接受供应商自行对响应文件的补充和修改。</w:t>
      </w:r>
    </w:p>
    <w:p>
      <w:pPr>
        <w:spacing w:line="360" w:lineRule="auto"/>
        <w:jc w:val="left"/>
        <w:rPr>
          <w:rFonts w:ascii="宋体" w:hAnsi="宋体"/>
          <w:b/>
          <w:bCs/>
          <w:sz w:val="24"/>
        </w:rPr>
      </w:pPr>
      <w:r>
        <w:rPr>
          <w:rFonts w:hint="eastAsia" w:ascii="宋体" w:hAnsi="宋体"/>
          <w:b/>
          <w:bCs/>
          <w:sz w:val="24"/>
          <w:lang w:val="en-US" w:eastAsia="zh-CN"/>
        </w:rPr>
        <w:t>3</w:t>
      </w:r>
      <w:r>
        <w:rPr>
          <w:rFonts w:hint="eastAsia" w:ascii="宋体" w:hAnsi="宋体"/>
          <w:b/>
          <w:bCs/>
          <w:sz w:val="24"/>
        </w:rPr>
        <w:t>、无效报价</w:t>
      </w:r>
    </w:p>
    <w:p>
      <w:pPr>
        <w:spacing w:line="360" w:lineRule="auto"/>
        <w:ind w:firstLine="480" w:firstLineChars="200"/>
        <w:jc w:val="left"/>
        <w:rPr>
          <w:rFonts w:ascii="宋体" w:hAnsi="宋体"/>
          <w:sz w:val="24"/>
        </w:rPr>
      </w:pPr>
      <w:r>
        <w:rPr>
          <w:rFonts w:hint="eastAsia" w:ascii="宋体" w:hAnsi="宋体"/>
          <w:sz w:val="24"/>
          <w:lang w:val="en-US" w:eastAsia="zh-CN"/>
        </w:rPr>
        <w:t>3</w:t>
      </w:r>
      <w:r>
        <w:rPr>
          <w:rFonts w:hint="eastAsia" w:ascii="宋体" w:hAnsi="宋体"/>
          <w:sz w:val="24"/>
        </w:rPr>
        <w:t>.1发生下列情况之一者，响应文件将不予受理。</w:t>
      </w:r>
    </w:p>
    <w:p>
      <w:pPr>
        <w:spacing w:line="360" w:lineRule="auto"/>
        <w:ind w:firstLine="480" w:firstLineChars="200"/>
        <w:jc w:val="left"/>
        <w:rPr>
          <w:rFonts w:ascii="宋体" w:hAnsi="宋体"/>
          <w:sz w:val="24"/>
        </w:rPr>
      </w:pPr>
      <w:r>
        <w:rPr>
          <w:rFonts w:hint="eastAsia" w:ascii="宋体" w:hAnsi="宋体"/>
          <w:sz w:val="24"/>
          <w:lang w:val="en-US" w:eastAsia="zh-CN"/>
        </w:rPr>
        <w:t>3</w:t>
      </w:r>
      <w:r>
        <w:rPr>
          <w:rFonts w:hint="eastAsia" w:ascii="宋体" w:hAnsi="宋体"/>
          <w:sz w:val="24"/>
        </w:rPr>
        <w:t>.1.1逾期送达的或未送达指定地点的；</w:t>
      </w:r>
    </w:p>
    <w:p>
      <w:pPr>
        <w:spacing w:line="360" w:lineRule="auto"/>
        <w:ind w:firstLine="480" w:firstLineChars="200"/>
        <w:jc w:val="left"/>
        <w:rPr>
          <w:rFonts w:ascii="宋体" w:hAnsi="宋体"/>
          <w:sz w:val="24"/>
        </w:rPr>
      </w:pPr>
      <w:r>
        <w:rPr>
          <w:rFonts w:hint="eastAsia" w:ascii="宋体" w:hAnsi="宋体"/>
          <w:sz w:val="24"/>
          <w:lang w:val="en-US" w:eastAsia="zh-CN"/>
        </w:rPr>
        <w:t>3</w:t>
      </w:r>
      <w:r>
        <w:rPr>
          <w:rFonts w:hint="eastAsia" w:ascii="宋体" w:hAnsi="宋体"/>
          <w:sz w:val="24"/>
        </w:rPr>
        <w:t>.1.</w:t>
      </w:r>
      <w:r>
        <w:rPr>
          <w:rFonts w:hint="eastAsia" w:ascii="宋体" w:hAnsi="宋体"/>
          <w:sz w:val="24"/>
          <w:lang w:val="en-US" w:eastAsia="zh-CN"/>
        </w:rPr>
        <w:t>2</w:t>
      </w:r>
      <w:r>
        <w:rPr>
          <w:rFonts w:hint="eastAsia" w:ascii="宋体" w:hAnsi="宋体"/>
          <w:sz w:val="24"/>
        </w:rPr>
        <w:t>响应文件未按规定装订、密封或未按规定加盖公章。</w:t>
      </w:r>
    </w:p>
    <w:p>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.2发生下列情况之一者，按无效报价处理。</w:t>
      </w:r>
    </w:p>
    <w:p>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.2.1响应文件不按规定盖章和签字的；</w:t>
      </w:r>
    </w:p>
    <w:p>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.2.2无法定代表人出具的授权委托书的；</w:t>
      </w:r>
    </w:p>
    <w:p>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.2.3响应文件未按规定格式、内容填写和/或响应文件内容与采购文件有严重背离；</w:t>
      </w:r>
    </w:p>
    <w:p>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.2.4供应商提供的资格证明材料无效的；</w:t>
      </w:r>
    </w:p>
    <w:p>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.2.5报价明显低于其成本价或明显高于市场正常价格的；</w:t>
      </w:r>
    </w:p>
    <w:p>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.2.6报价有效期不满足采购文件要求的；</w:t>
      </w:r>
    </w:p>
    <w:p>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.2.7对于同一标段，供应商递交两份或多份内容不同的响应文件（包括报价）的；</w:t>
      </w:r>
    </w:p>
    <w:p>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.2.8采购文件明确规定可以</w:t>
      </w:r>
      <w:r>
        <w:rPr>
          <w:rFonts w:hint="eastAsia" w:ascii="宋体" w:hAnsi="宋体"/>
          <w:sz w:val="24"/>
        </w:rPr>
        <w:t>视为无效报价</w:t>
      </w:r>
      <w:r>
        <w:rPr>
          <w:rFonts w:hint="eastAsia" w:ascii="宋体" w:hAnsi="宋体"/>
          <w:bCs/>
          <w:sz w:val="24"/>
        </w:rPr>
        <w:t>的其他情形；</w:t>
      </w:r>
    </w:p>
    <w:p>
      <w:pPr>
        <w:spacing w:line="360" w:lineRule="auto"/>
        <w:ind w:firstLine="480" w:firstLineChars="200"/>
        <w:jc w:val="left"/>
        <w:rPr>
          <w:rFonts w:ascii="宋体" w:hAnsi="宋体"/>
          <w:b/>
          <w:sz w:val="24"/>
        </w:rPr>
      </w:pPr>
      <w:r>
        <w:rPr>
          <w:rFonts w:hint="eastAsia" w:ascii="宋体" w:hAnsi="宋体"/>
          <w:bCs/>
          <w:sz w:val="24"/>
          <w:lang w:val="en-US" w:eastAsia="zh-CN"/>
        </w:rPr>
        <w:t>3</w:t>
      </w:r>
      <w:r>
        <w:rPr>
          <w:rFonts w:hint="eastAsia" w:ascii="宋体" w:hAnsi="宋体"/>
          <w:bCs/>
          <w:sz w:val="24"/>
        </w:rPr>
        <w:t>.2.9</w:t>
      </w:r>
      <w:r>
        <w:rPr>
          <w:rFonts w:hint="eastAsia" w:ascii="宋体" w:hAnsi="宋体"/>
          <w:sz w:val="24"/>
        </w:rPr>
        <w:t>法定代表人为同一个人的两个及两个以上的公司、分公司、全资子公司及其控股公司，在同一标段中同时报价的。</w:t>
      </w:r>
    </w:p>
    <w:p>
      <w:pPr>
        <w:spacing w:line="360" w:lineRule="auto"/>
        <w:ind w:firstLine="480" w:firstLineChars="200"/>
        <w:jc w:val="left"/>
        <w:rPr>
          <w:rFonts w:ascii="宋体" w:hAnsi="宋体"/>
          <w:sz w:val="24"/>
        </w:rPr>
      </w:pPr>
      <w:r>
        <w:rPr>
          <w:rFonts w:hint="eastAsia" w:ascii="宋体" w:hAnsi="宋体"/>
          <w:sz w:val="24"/>
          <w:lang w:val="en-US" w:eastAsia="zh-CN"/>
        </w:rPr>
        <w:t>3</w:t>
      </w:r>
      <w:r>
        <w:rPr>
          <w:rFonts w:hint="eastAsia" w:ascii="宋体" w:hAnsi="宋体"/>
          <w:sz w:val="24"/>
        </w:rPr>
        <w:t>.3没有实质性响应采购文件的要求和条件的，谈判小组应当视为无效报价，并不允许供应商通过修改或撤销其不符合要求的差异或保留，使之成为具有响应性的报价。</w:t>
      </w:r>
    </w:p>
    <w:p>
      <w:pPr>
        <w:pStyle w:val="3"/>
        <w:spacing w:line="360" w:lineRule="auto"/>
        <w:ind w:firstLine="0" w:firstLineChars="0"/>
        <w:rPr>
          <w:rFonts w:ascii="宋体" w:hAnsi="宋体"/>
          <w:b/>
          <w:color w:val="000000"/>
        </w:rPr>
      </w:pPr>
      <w:bookmarkStart w:id="2" w:name="_Toc440961674"/>
      <w:bookmarkStart w:id="3" w:name="_Toc332640155"/>
      <w:bookmarkStart w:id="4" w:name="_Toc440962430"/>
      <w:r>
        <w:rPr>
          <w:rFonts w:hint="eastAsia" w:ascii="宋体" w:hAnsi="宋体"/>
          <w:b/>
          <w:color w:val="000000"/>
          <w:lang w:val="en-US" w:eastAsia="zh-CN"/>
        </w:rPr>
        <w:t>4</w:t>
      </w:r>
      <w:r>
        <w:rPr>
          <w:rFonts w:hint="eastAsia" w:ascii="宋体" w:hAnsi="宋体"/>
          <w:b/>
          <w:color w:val="000000"/>
        </w:rPr>
        <w:t>、 纪律和监督</w:t>
      </w:r>
      <w:bookmarkEnd w:id="2"/>
      <w:bookmarkEnd w:id="3"/>
      <w:bookmarkEnd w:id="4"/>
    </w:p>
    <w:p>
      <w:pPr>
        <w:spacing w:line="360" w:lineRule="auto"/>
        <w:ind w:firstLine="480" w:firstLineChars="200"/>
        <w:jc w:val="left"/>
        <w:rPr>
          <w:rFonts w:ascii="宋体" w:hAnsi="宋体"/>
          <w:sz w:val="24"/>
        </w:rPr>
      </w:pPr>
      <w:bookmarkStart w:id="5" w:name="_Toc440962431"/>
      <w:bookmarkStart w:id="6" w:name="_Toc332640156"/>
      <w:bookmarkStart w:id="7" w:name="_Toc430685147"/>
      <w:bookmarkStart w:id="8" w:name="_Toc440961675"/>
      <w:r>
        <w:rPr>
          <w:rFonts w:hint="eastAsia" w:ascii="宋体" w:hAnsi="宋体"/>
          <w:sz w:val="24"/>
          <w:lang w:val="en-US" w:eastAsia="zh-CN"/>
        </w:rPr>
        <w:t>4</w:t>
      </w:r>
      <w:r>
        <w:rPr>
          <w:rFonts w:hint="eastAsia" w:ascii="宋体" w:hAnsi="宋体"/>
          <w:sz w:val="24"/>
        </w:rPr>
        <w:t>.1 对采购人的纪律要求</w:t>
      </w:r>
      <w:bookmarkEnd w:id="5"/>
      <w:bookmarkEnd w:id="6"/>
      <w:bookmarkEnd w:id="7"/>
      <w:bookmarkEnd w:id="8"/>
    </w:p>
    <w:p>
      <w:pPr>
        <w:spacing w:line="360" w:lineRule="auto"/>
        <w:ind w:firstLine="480" w:firstLineChars="200"/>
        <w:jc w:val="left"/>
        <w:rPr>
          <w:rFonts w:ascii="宋体" w:hAnsi="宋体"/>
          <w:sz w:val="24"/>
        </w:rPr>
      </w:pPr>
      <w:r>
        <w:rPr>
          <w:rFonts w:hint="eastAsia" w:ascii="宋体" w:hAnsi="宋体"/>
          <w:sz w:val="24"/>
        </w:rPr>
        <w:t>采购人不得泄漏采购活动中应当保密的情况和资料，不得与供应商串通损害国家利益、社会公共利益或者他人合法权益。</w:t>
      </w:r>
    </w:p>
    <w:p>
      <w:pPr>
        <w:spacing w:line="360" w:lineRule="auto"/>
        <w:ind w:firstLine="480" w:firstLineChars="200"/>
        <w:jc w:val="left"/>
        <w:rPr>
          <w:rFonts w:ascii="宋体" w:hAnsi="宋体"/>
          <w:sz w:val="24"/>
        </w:rPr>
      </w:pPr>
      <w:bookmarkStart w:id="9" w:name="_Toc440961676"/>
      <w:bookmarkStart w:id="10" w:name="_Toc440962432"/>
      <w:bookmarkStart w:id="11" w:name="_Toc430685148"/>
      <w:bookmarkStart w:id="12" w:name="_Toc332640157"/>
      <w:r>
        <w:rPr>
          <w:rFonts w:hint="eastAsia" w:ascii="宋体" w:hAnsi="宋体"/>
          <w:sz w:val="24"/>
          <w:lang w:val="en-US" w:eastAsia="zh-CN"/>
        </w:rPr>
        <w:t>4</w:t>
      </w:r>
      <w:r>
        <w:rPr>
          <w:rFonts w:hint="eastAsia" w:ascii="宋体" w:hAnsi="宋体"/>
          <w:sz w:val="24"/>
        </w:rPr>
        <w:t>.2 对供应商的纪律要求</w:t>
      </w:r>
      <w:bookmarkEnd w:id="9"/>
      <w:bookmarkEnd w:id="10"/>
      <w:bookmarkEnd w:id="11"/>
      <w:bookmarkEnd w:id="12"/>
    </w:p>
    <w:p>
      <w:pPr>
        <w:spacing w:line="360" w:lineRule="auto"/>
        <w:ind w:left="483" w:leftChars="230"/>
        <w:jc w:val="left"/>
        <w:rPr>
          <w:rFonts w:ascii="宋体" w:hAnsi="宋体"/>
          <w:sz w:val="24"/>
        </w:rPr>
      </w:pPr>
      <w:r>
        <w:rPr>
          <w:rFonts w:hint="eastAsia" w:ascii="宋体" w:hAnsi="宋体"/>
          <w:sz w:val="24"/>
          <w:lang w:val="en-US" w:eastAsia="zh-CN"/>
        </w:rPr>
        <w:t>4</w:t>
      </w:r>
      <w:r>
        <w:rPr>
          <w:rFonts w:hint="eastAsia" w:ascii="宋体" w:hAnsi="宋体"/>
          <w:sz w:val="24"/>
        </w:rPr>
        <w:t>.2.1供应商不得相互串通报价或者与采购人串通报价，哄抬价格，致使定标困难或无法定标；</w:t>
      </w:r>
    </w:p>
    <w:p>
      <w:pPr>
        <w:spacing w:line="360" w:lineRule="auto"/>
        <w:ind w:left="483" w:leftChars="230"/>
        <w:jc w:val="left"/>
        <w:rPr>
          <w:rFonts w:ascii="宋体" w:hAnsi="宋体"/>
          <w:sz w:val="24"/>
        </w:rPr>
      </w:pPr>
      <w:r>
        <w:rPr>
          <w:rFonts w:hint="eastAsia" w:ascii="宋体" w:hAnsi="宋体"/>
          <w:sz w:val="24"/>
          <w:lang w:val="en-US" w:eastAsia="zh-CN"/>
        </w:rPr>
        <w:t>4</w:t>
      </w:r>
      <w:r>
        <w:rPr>
          <w:rFonts w:hint="eastAsia" w:ascii="宋体" w:hAnsi="宋体"/>
          <w:sz w:val="24"/>
        </w:rPr>
        <w:t>.2.2供应商不得采用不正当手段妨碍、排挤其它供应商，扰乱市场，破坏公平竞争；</w:t>
      </w:r>
    </w:p>
    <w:p>
      <w:pPr>
        <w:spacing w:line="360" w:lineRule="auto"/>
        <w:ind w:left="483" w:leftChars="230"/>
        <w:jc w:val="left"/>
        <w:rPr>
          <w:rFonts w:ascii="宋体" w:hAnsi="宋体"/>
          <w:sz w:val="24"/>
        </w:rPr>
      </w:pPr>
      <w:r>
        <w:rPr>
          <w:rFonts w:hint="eastAsia" w:ascii="宋体" w:hAnsi="宋体"/>
          <w:sz w:val="24"/>
          <w:lang w:val="en-US" w:eastAsia="zh-CN"/>
        </w:rPr>
        <w:t>4</w:t>
      </w:r>
      <w:r>
        <w:rPr>
          <w:rFonts w:hint="eastAsia" w:ascii="宋体" w:hAnsi="宋体"/>
          <w:sz w:val="24"/>
        </w:rPr>
        <w:t>.2.3不得以他人名义报价或者以其他方式弄虚作假骗取中标；</w:t>
      </w:r>
    </w:p>
    <w:p>
      <w:pPr>
        <w:spacing w:line="360" w:lineRule="auto"/>
        <w:ind w:left="483" w:leftChars="230"/>
        <w:jc w:val="left"/>
        <w:rPr>
          <w:rFonts w:ascii="宋体" w:hAnsi="宋体"/>
          <w:sz w:val="24"/>
        </w:rPr>
      </w:pPr>
      <w:r>
        <w:rPr>
          <w:rFonts w:hint="eastAsia" w:ascii="宋体" w:hAnsi="宋体"/>
          <w:sz w:val="24"/>
          <w:lang w:val="en-US" w:eastAsia="zh-CN"/>
        </w:rPr>
        <w:t>4</w:t>
      </w:r>
      <w:r>
        <w:rPr>
          <w:rFonts w:hint="eastAsia" w:ascii="宋体" w:hAnsi="宋体"/>
          <w:sz w:val="24"/>
        </w:rPr>
        <w:t>.2.4不得向采购人或者谈判小组成员行贿谋取中标；</w:t>
      </w:r>
    </w:p>
    <w:p>
      <w:pPr>
        <w:spacing w:line="360" w:lineRule="auto"/>
        <w:ind w:left="483" w:leftChars="230"/>
        <w:jc w:val="left"/>
        <w:rPr>
          <w:rFonts w:ascii="宋体" w:hAnsi="宋体"/>
          <w:sz w:val="24"/>
        </w:rPr>
      </w:pPr>
      <w:r>
        <w:rPr>
          <w:rFonts w:hint="eastAsia" w:ascii="宋体" w:hAnsi="宋体"/>
          <w:sz w:val="24"/>
          <w:lang w:val="en-US" w:eastAsia="zh-CN"/>
        </w:rPr>
        <w:t>4</w:t>
      </w:r>
      <w:r>
        <w:rPr>
          <w:rFonts w:hint="eastAsia" w:ascii="宋体" w:hAnsi="宋体"/>
          <w:sz w:val="24"/>
        </w:rPr>
        <w:t>.2.5供应商不得以任何形式打听和搜集评审机密，不得以任何方式干扰、影响评审工作；</w:t>
      </w:r>
    </w:p>
    <w:p>
      <w:pPr>
        <w:spacing w:line="360" w:lineRule="auto"/>
        <w:ind w:left="483" w:leftChars="230"/>
        <w:jc w:val="left"/>
        <w:rPr>
          <w:rFonts w:ascii="宋体" w:hAnsi="宋体"/>
          <w:sz w:val="24"/>
        </w:rPr>
      </w:pPr>
      <w:r>
        <w:rPr>
          <w:rFonts w:hint="eastAsia" w:ascii="宋体" w:hAnsi="宋体"/>
          <w:sz w:val="24"/>
        </w:rPr>
        <w:t>供应商若违反上述要求，一经发现其报价将被废除，且对其报价保证金不予返还。</w:t>
      </w:r>
    </w:p>
    <w:p>
      <w:pPr>
        <w:spacing w:line="360" w:lineRule="auto"/>
        <w:ind w:firstLine="480" w:firstLineChars="200"/>
        <w:jc w:val="left"/>
        <w:rPr>
          <w:rFonts w:ascii="宋体" w:hAnsi="宋体"/>
          <w:sz w:val="24"/>
        </w:rPr>
      </w:pPr>
      <w:bookmarkStart w:id="13" w:name="_Toc440962433"/>
      <w:bookmarkStart w:id="14" w:name="_Toc440961677"/>
      <w:bookmarkStart w:id="15" w:name="_Toc430685149"/>
      <w:bookmarkStart w:id="16" w:name="_Toc332640158"/>
      <w:r>
        <w:rPr>
          <w:rFonts w:hint="eastAsia" w:ascii="宋体" w:hAnsi="宋体"/>
          <w:sz w:val="24"/>
          <w:lang w:val="en-US" w:eastAsia="zh-CN"/>
        </w:rPr>
        <w:t>4</w:t>
      </w:r>
      <w:r>
        <w:rPr>
          <w:rFonts w:hint="eastAsia" w:ascii="宋体" w:hAnsi="宋体"/>
          <w:sz w:val="24"/>
        </w:rPr>
        <w:t>.3 对谈判小组成员的纪律要求</w:t>
      </w:r>
      <w:bookmarkEnd w:id="13"/>
      <w:bookmarkEnd w:id="14"/>
      <w:bookmarkEnd w:id="15"/>
      <w:bookmarkEnd w:id="16"/>
    </w:p>
    <w:p>
      <w:pPr>
        <w:spacing w:line="360" w:lineRule="auto"/>
        <w:ind w:firstLine="480" w:firstLineChars="200"/>
        <w:jc w:val="left"/>
        <w:rPr>
          <w:rFonts w:ascii="宋体" w:hAnsi="宋体"/>
          <w:sz w:val="24"/>
        </w:rPr>
      </w:pPr>
      <w:r>
        <w:rPr>
          <w:rFonts w:hint="eastAsia" w:ascii="宋体" w:hAnsi="宋体"/>
          <w:sz w:val="24"/>
        </w:rPr>
        <w:t>谈判小组成员不得收受他人的财物或者其他好处，不得向他人透漏对响应文件的评审和比较、成交候选人的推荐情况以及评审有关的其他情况。在评审活动中，谈判小组成员不得擅离职守，影响评审程序正常进行。</w:t>
      </w:r>
    </w:p>
    <w:p>
      <w:pPr>
        <w:spacing w:line="360" w:lineRule="auto"/>
        <w:ind w:firstLine="480" w:firstLineChars="200"/>
        <w:jc w:val="left"/>
        <w:rPr>
          <w:rFonts w:ascii="宋体" w:hAnsi="宋体"/>
          <w:sz w:val="24"/>
        </w:rPr>
      </w:pPr>
      <w:bookmarkStart w:id="17" w:name="_Toc440961678"/>
      <w:bookmarkStart w:id="18" w:name="_Toc440962434"/>
      <w:bookmarkStart w:id="19" w:name="_Toc332640159"/>
      <w:bookmarkStart w:id="20" w:name="_Toc430685150"/>
      <w:r>
        <w:rPr>
          <w:rFonts w:hint="eastAsia" w:ascii="宋体" w:hAnsi="宋体"/>
          <w:sz w:val="24"/>
          <w:lang w:val="en-US" w:eastAsia="zh-CN"/>
        </w:rPr>
        <w:t>4</w:t>
      </w:r>
      <w:r>
        <w:rPr>
          <w:rFonts w:hint="eastAsia" w:ascii="宋体" w:hAnsi="宋体"/>
          <w:sz w:val="24"/>
        </w:rPr>
        <w:t>.4 对与评审活动有关的工作人员的纪律要求</w:t>
      </w:r>
      <w:bookmarkEnd w:id="17"/>
      <w:bookmarkEnd w:id="18"/>
      <w:bookmarkEnd w:id="19"/>
      <w:bookmarkEnd w:id="20"/>
    </w:p>
    <w:p>
      <w:pPr>
        <w:spacing w:line="360" w:lineRule="auto"/>
        <w:ind w:firstLine="480" w:firstLineChars="200"/>
        <w:jc w:val="left"/>
        <w:rPr>
          <w:rFonts w:ascii="宋体" w:hAnsi="宋体"/>
          <w:sz w:val="24"/>
        </w:rPr>
      </w:pPr>
      <w:r>
        <w:rPr>
          <w:rFonts w:hint="eastAsia" w:ascii="宋体" w:hAnsi="宋体"/>
          <w:sz w:val="24"/>
        </w:rPr>
        <w:t>与评审活动有关的工作人员不得收受他人的财物或者其他好处，不得向他人透漏对报价文件的评审和比较、成交候选人的推荐情况以及评审有关的其他情况。在评审活动中，与评审活动有关的工作人员不得擅离职守，影响评审程序正常进行。</w:t>
      </w:r>
    </w:p>
    <w:p>
      <w:pPr>
        <w:spacing w:line="360" w:lineRule="auto"/>
        <w:ind w:firstLine="480" w:firstLineChars="200"/>
        <w:jc w:val="left"/>
        <w:rPr>
          <w:rFonts w:ascii="宋体" w:hAnsi="宋体"/>
          <w:sz w:val="24"/>
        </w:rPr>
      </w:pPr>
      <w:bookmarkStart w:id="21" w:name="_Toc332640160"/>
      <w:bookmarkStart w:id="22" w:name="_Toc430685151"/>
      <w:bookmarkStart w:id="23" w:name="_Toc440961679"/>
      <w:bookmarkStart w:id="24" w:name="_Toc440962435"/>
      <w:r>
        <w:rPr>
          <w:rFonts w:hint="eastAsia" w:ascii="宋体" w:hAnsi="宋体"/>
          <w:sz w:val="24"/>
          <w:lang w:val="en-US" w:eastAsia="zh-CN"/>
        </w:rPr>
        <w:t>4</w:t>
      </w:r>
      <w:r>
        <w:rPr>
          <w:rFonts w:hint="eastAsia" w:ascii="宋体" w:hAnsi="宋体"/>
          <w:sz w:val="24"/>
        </w:rPr>
        <w:t>.5 质疑及投诉</w:t>
      </w:r>
      <w:bookmarkEnd w:id="21"/>
      <w:bookmarkEnd w:id="22"/>
      <w:bookmarkEnd w:id="23"/>
      <w:bookmarkEnd w:id="24"/>
    </w:p>
    <w:p>
      <w:pPr>
        <w:spacing w:line="360" w:lineRule="auto"/>
        <w:ind w:firstLine="480" w:firstLineChars="200"/>
        <w:jc w:val="left"/>
        <w:rPr>
          <w:rFonts w:ascii="宋体" w:hAnsi="宋体"/>
          <w:sz w:val="24"/>
        </w:rPr>
      </w:pPr>
      <w:r>
        <w:rPr>
          <w:rFonts w:hint="eastAsia" w:ascii="宋体" w:hAnsi="宋体"/>
          <w:sz w:val="24"/>
        </w:rPr>
        <w:t>供应商和其他利害关系人认为本次采购活动违反法律、法规和规章规定的，有权向有关行政监督部门质疑及投诉。</w:t>
      </w:r>
      <w:bookmarkStart w:id="25" w:name="_Toc285281268"/>
      <w:bookmarkStart w:id="26" w:name="_Toc308450872"/>
    </w:p>
    <w:p>
      <w:pPr>
        <w:spacing w:line="360" w:lineRule="auto"/>
        <w:jc w:val="left"/>
        <w:rPr>
          <w:rFonts w:ascii="宋体" w:hAnsi="宋体" w:cs="宋体"/>
          <w:color w:val="000000"/>
          <w:kern w:val="0"/>
          <w:sz w:val="24"/>
        </w:rPr>
      </w:pPr>
      <w:r>
        <w:rPr>
          <w:rFonts w:hint="eastAsia" w:ascii="宋体" w:hAnsi="宋体"/>
          <w:b/>
          <w:color w:val="000000"/>
          <w:sz w:val="24"/>
          <w:szCs w:val="24"/>
          <w:lang w:val="en-US" w:eastAsia="zh-CN"/>
        </w:rPr>
        <w:t>5</w:t>
      </w:r>
      <w:r>
        <w:rPr>
          <w:rFonts w:hint="eastAsia" w:ascii="宋体" w:hAnsi="宋体"/>
          <w:b/>
          <w:color w:val="000000"/>
          <w:sz w:val="24"/>
          <w:szCs w:val="24"/>
        </w:rPr>
        <w:t>、报价费用</w:t>
      </w:r>
      <w:bookmarkEnd w:id="25"/>
      <w:bookmarkEnd w:id="26"/>
      <w:r>
        <w:rPr>
          <w:rFonts w:hint="eastAsia" w:ascii="宋体" w:hAnsi="宋体"/>
          <w:b/>
          <w:color w:val="000000"/>
          <w:sz w:val="24"/>
          <w:szCs w:val="24"/>
        </w:rPr>
        <w:t xml:space="preserve">    一切与报价有关的费用均由供应商自理。</w:t>
      </w:r>
    </w:p>
    <w:p>
      <w:pPr>
        <w:spacing w:line="360" w:lineRule="auto"/>
        <w:jc w:val="center"/>
        <w:rPr>
          <w:rFonts w:ascii="宋体" w:hAnsi="宋体"/>
          <w:b/>
          <w:sz w:val="44"/>
          <w:szCs w:val="44"/>
        </w:rPr>
      </w:pPr>
      <w:r>
        <w:rPr>
          <w:rFonts w:ascii="宋体" w:hAnsi="宋体" w:cs="宋体"/>
          <w:color w:val="000000"/>
          <w:kern w:val="0"/>
          <w:sz w:val="24"/>
        </w:rPr>
        <w:br w:type="page"/>
      </w:r>
      <w:r>
        <w:rPr>
          <w:rFonts w:hint="eastAsia" w:ascii="宋体" w:hAnsi="宋体"/>
          <w:b/>
          <w:sz w:val="44"/>
          <w:szCs w:val="44"/>
        </w:rPr>
        <w:t>第三章 采购方式与程序</w:t>
      </w:r>
    </w:p>
    <w:p>
      <w:pPr>
        <w:spacing w:line="360" w:lineRule="auto"/>
        <w:rPr>
          <w:rFonts w:ascii="宋体" w:hAnsi="宋体"/>
          <w:sz w:val="24"/>
          <w:szCs w:val="24"/>
        </w:rPr>
      </w:pPr>
      <w:r>
        <w:rPr>
          <w:rFonts w:hint="eastAsia" w:ascii="宋体" w:hAnsi="宋体"/>
          <w:sz w:val="24"/>
          <w:szCs w:val="24"/>
        </w:rPr>
        <w:t>1、</w:t>
      </w:r>
      <w:r>
        <w:rPr>
          <w:rFonts w:ascii="宋体" w:hAnsi="宋体"/>
          <w:sz w:val="24"/>
          <w:szCs w:val="24"/>
        </w:rPr>
        <w:t>依据《</w:t>
      </w:r>
      <w:r>
        <w:rPr>
          <w:rFonts w:hint="eastAsia" w:ascii="宋体" w:hAnsi="宋体"/>
          <w:sz w:val="24"/>
          <w:szCs w:val="24"/>
        </w:rPr>
        <w:t>包头铝业有限公司招投标管理和监督办法</w:t>
      </w:r>
      <w:r>
        <w:rPr>
          <w:rFonts w:ascii="宋体" w:hAnsi="宋体"/>
          <w:sz w:val="24"/>
          <w:szCs w:val="24"/>
        </w:rPr>
        <w:t>》有关法规制定本</w:t>
      </w:r>
      <w:r>
        <w:rPr>
          <w:rFonts w:hint="eastAsia" w:ascii="宋体" w:hAnsi="宋体"/>
          <w:sz w:val="24"/>
          <w:szCs w:val="24"/>
        </w:rPr>
        <w:t>采购</w:t>
      </w:r>
      <w:r>
        <w:rPr>
          <w:rFonts w:ascii="宋体" w:hAnsi="宋体"/>
          <w:sz w:val="24"/>
          <w:szCs w:val="24"/>
        </w:rPr>
        <w:t>办法。</w:t>
      </w:r>
    </w:p>
    <w:p>
      <w:pPr>
        <w:spacing w:line="360" w:lineRule="auto"/>
        <w:rPr>
          <w:rFonts w:ascii="宋体" w:hAnsi="宋体"/>
          <w:b/>
          <w:sz w:val="24"/>
          <w:szCs w:val="24"/>
        </w:rPr>
      </w:pPr>
      <w:r>
        <w:rPr>
          <w:rFonts w:hint="eastAsia" w:ascii="宋体" w:hAnsi="宋体"/>
          <w:b/>
          <w:sz w:val="24"/>
          <w:szCs w:val="24"/>
        </w:rPr>
        <w:t>2、</w:t>
      </w:r>
      <w:r>
        <w:rPr>
          <w:rFonts w:hint="eastAsia" w:ascii="宋体" w:hAnsi="宋体"/>
          <w:b/>
          <w:sz w:val="24"/>
          <w:szCs w:val="24"/>
          <w:lang w:eastAsia="zh-CN"/>
        </w:rPr>
        <w:t>采购</w:t>
      </w:r>
      <w:r>
        <w:rPr>
          <w:rFonts w:hint="eastAsia" w:ascii="宋体" w:hAnsi="宋体"/>
          <w:b/>
          <w:sz w:val="24"/>
          <w:szCs w:val="24"/>
        </w:rPr>
        <w:t>小组</w:t>
      </w:r>
    </w:p>
    <w:p>
      <w:pPr>
        <w:pStyle w:val="3"/>
        <w:spacing w:line="360" w:lineRule="auto"/>
        <w:rPr>
          <w:rFonts w:ascii="宋体" w:hAnsi="宋体"/>
        </w:rPr>
      </w:pPr>
      <w:r>
        <w:rPr>
          <w:rFonts w:hint="eastAsia" w:ascii="宋体" w:hAnsi="宋体"/>
        </w:rPr>
        <w:t>依法组建</w:t>
      </w:r>
      <w:r>
        <w:rPr>
          <w:rFonts w:hint="eastAsia" w:ascii="宋体" w:hAnsi="宋体"/>
          <w:lang w:eastAsia="zh-CN"/>
        </w:rPr>
        <w:t>采购</w:t>
      </w:r>
      <w:r>
        <w:rPr>
          <w:rFonts w:hint="eastAsia" w:ascii="宋体" w:hAnsi="宋体"/>
        </w:rPr>
        <w:t>小组，由</w:t>
      </w:r>
      <w:r>
        <w:rPr>
          <w:rFonts w:hint="eastAsia" w:ascii="宋体" w:hAnsi="宋体"/>
          <w:lang w:eastAsia="zh-CN"/>
        </w:rPr>
        <w:t>采购</w:t>
      </w:r>
      <w:r>
        <w:rPr>
          <w:rFonts w:hint="eastAsia" w:ascii="宋体" w:hAnsi="宋体"/>
        </w:rPr>
        <w:t>小组成员推荐组长，每位</w:t>
      </w:r>
      <w:r>
        <w:rPr>
          <w:rFonts w:hint="eastAsia" w:ascii="宋体" w:hAnsi="宋体"/>
          <w:lang w:eastAsia="zh-CN"/>
        </w:rPr>
        <w:t>采购</w:t>
      </w:r>
      <w:r>
        <w:rPr>
          <w:rFonts w:hint="eastAsia" w:ascii="宋体" w:hAnsi="宋体"/>
        </w:rPr>
        <w:t>小组成员独立评审，任何人不得通过任何方式，干扰评审。</w:t>
      </w:r>
      <w:r>
        <w:rPr>
          <w:rFonts w:hint="eastAsia" w:ascii="宋体" w:hAnsi="宋体"/>
          <w:lang w:eastAsia="zh-CN"/>
        </w:rPr>
        <w:t>采购</w:t>
      </w:r>
      <w:r>
        <w:rPr>
          <w:rFonts w:ascii="宋体" w:hAnsi="宋体"/>
        </w:rPr>
        <w:t>小组人数为</w:t>
      </w:r>
      <w:r>
        <w:rPr>
          <w:rFonts w:hint="eastAsia" w:ascii="宋体" w:hAnsi="宋体"/>
        </w:rPr>
        <w:t>3</w:t>
      </w:r>
      <w:r>
        <w:rPr>
          <w:rFonts w:ascii="宋体" w:hAnsi="宋体"/>
        </w:rPr>
        <w:t>人</w:t>
      </w:r>
      <w:r>
        <w:rPr>
          <w:rFonts w:hint="eastAsia" w:ascii="宋体" w:hAnsi="宋体"/>
        </w:rPr>
        <w:t>（含）</w:t>
      </w:r>
      <w:r>
        <w:rPr>
          <w:rFonts w:ascii="宋体" w:hAnsi="宋体"/>
        </w:rPr>
        <w:t>以上单数。</w:t>
      </w:r>
    </w:p>
    <w:p>
      <w:pPr>
        <w:spacing w:line="360" w:lineRule="auto"/>
        <w:rPr>
          <w:rFonts w:ascii="宋体" w:hAnsi="宋体"/>
          <w:b/>
          <w:sz w:val="24"/>
          <w:szCs w:val="24"/>
        </w:rPr>
      </w:pPr>
      <w:r>
        <w:rPr>
          <w:rFonts w:hint="eastAsia" w:ascii="宋体" w:hAnsi="宋体"/>
          <w:b/>
          <w:sz w:val="24"/>
          <w:szCs w:val="24"/>
        </w:rPr>
        <w:t>3、采购评审办法和采购评审程序</w:t>
      </w:r>
    </w:p>
    <w:p>
      <w:pPr>
        <w:pStyle w:val="3"/>
        <w:spacing w:line="360" w:lineRule="auto"/>
        <w:rPr>
          <w:rFonts w:ascii="宋体" w:hAnsi="宋体" w:cs="Arial"/>
          <w:b/>
          <w:color w:val="000000"/>
          <w:kern w:val="0"/>
        </w:rPr>
      </w:pPr>
      <w:r>
        <w:rPr>
          <w:rFonts w:hint="eastAsia" w:ascii="宋体" w:hAnsi="宋体"/>
        </w:rPr>
        <w:t>通过资格审查供应商，且未对采购文件中提出的条件有负偏离并报价合理的供应商进入两轮</w:t>
      </w:r>
      <w:r>
        <w:rPr>
          <w:rFonts w:hint="eastAsia" w:ascii="宋体" w:hAnsi="宋体"/>
          <w:lang w:eastAsia="zh-CN"/>
        </w:rPr>
        <w:t>询比价</w:t>
      </w:r>
      <w:r>
        <w:rPr>
          <w:rFonts w:hint="eastAsia" w:ascii="宋体" w:hAnsi="宋体"/>
        </w:rPr>
        <w:t>（首次提交响应文件中的报价为第一轮），按第二轮报价由低到高推荐成交供应商排名（如第二轮报价相同，首次报价低者优先）,</w:t>
      </w:r>
      <w:r>
        <w:rPr>
          <w:rFonts w:hint="eastAsia" w:ascii="宋体" w:hAnsi="宋体"/>
          <w:lang w:eastAsia="zh-CN"/>
        </w:rPr>
        <w:t>采购</w:t>
      </w:r>
      <w:r>
        <w:rPr>
          <w:rFonts w:hint="eastAsia" w:ascii="宋体" w:hAnsi="宋体"/>
        </w:rPr>
        <w:t>小组据此形成评审报告并经采购人</w:t>
      </w:r>
      <w:r>
        <w:rPr>
          <w:rFonts w:ascii="宋体" w:hAnsi="宋体"/>
        </w:rPr>
        <w:t>审核确认</w:t>
      </w:r>
      <w:r>
        <w:rPr>
          <w:rFonts w:hint="eastAsia" w:ascii="宋体" w:hAnsi="宋体"/>
        </w:rPr>
        <w:t>后</w:t>
      </w:r>
      <w:r>
        <w:rPr>
          <w:rFonts w:ascii="宋体" w:hAnsi="宋体"/>
        </w:rPr>
        <w:t>，最终确定</w:t>
      </w:r>
      <w:r>
        <w:rPr>
          <w:rFonts w:hint="eastAsia" w:ascii="宋体" w:hAnsi="宋体"/>
        </w:rPr>
        <w:t>成交供应商</w:t>
      </w:r>
      <w:r>
        <w:rPr>
          <w:rFonts w:ascii="宋体" w:hAnsi="宋体"/>
        </w:rPr>
        <w:t>。</w:t>
      </w:r>
    </w:p>
    <w:p>
      <w:pPr>
        <w:pStyle w:val="3"/>
        <w:spacing w:line="360" w:lineRule="auto"/>
        <w:ind w:firstLine="0" w:firstLineChars="0"/>
        <w:rPr>
          <w:rFonts w:ascii="宋体" w:hAnsi="宋体"/>
        </w:rPr>
      </w:pPr>
      <w:r>
        <w:rPr>
          <w:rFonts w:hint="eastAsia" w:ascii="宋体" w:hAnsi="宋体"/>
        </w:rPr>
        <w:t>3.1公开唱价</w:t>
      </w:r>
    </w:p>
    <w:p>
      <w:pPr>
        <w:pStyle w:val="3"/>
        <w:spacing w:line="360" w:lineRule="auto"/>
        <w:ind w:firstLine="0" w:firstLineChars="0"/>
        <w:rPr>
          <w:rFonts w:ascii="宋体" w:hAnsi="宋体"/>
          <w:b/>
          <w:color w:val="000000" w:themeColor="text1"/>
        </w:rPr>
      </w:pPr>
      <w:r>
        <w:rPr>
          <w:rFonts w:hint="eastAsia" w:ascii="宋体" w:hAnsi="宋体"/>
          <w:color w:val="000000" w:themeColor="text1"/>
        </w:rPr>
        <w:t>响应供应商达到三家及以上时，供应商首轮报价进行公开唱标。</w:t>
      </w:r>
    </w:p>
    <w:p>
      <w:pPr>
        <w:spacing w:line="360" w:lineRule="auto"/>
        <w:rPr>
          <w:rFonts w:ascii="宋体" w:hAnsi="宋体"/>
          <w:sz w:val="24"/>
          <w:szCs w:val="24"/>
        </w:rPr>
      </w:pPr>
      <w:r>
        <w:rPr>
          <w:rFonts w:hint="eastAsia" w:ascii="宋体" w:hAnsi="宋体"/>
          <w:sz w:val="24"/>
          <w:szCs w:val="24"/>
        </w:rPr>
        <w:t>3.2采购评审</w:t>
      </w:r>
      <w:r>
        <w:rPr>
          <w:rFonts w:ascii="宋体" w:hAnsi="宋体"/>
          <w:sz w:val="24"/>
          <w:szCs w:val="24"/>
        </w:rPr>
        <w:t>的内容</w:t>
      </w:r>
    </w:p>
    <w:p>
      <w:pPr>
        <w:spacing w:line="360" w:lineRule="auto"/>
        <w:rPr>
          <w:rFonts w:ascii="宋体" w:hAnsi="宋体"/>
          <w:sz w:val="24"/>
          <w:szCs w:val="24"/>
        </w:rPr>
      </w:pPr>
      <w:r>
        <w:rPr>
          <w:rFonts w:hint="eastAsia" w:ascii="宋体" w:hAnsi="宋体"/>
          <w:sz w:val="24"/>
          <w:szCs w:val="24"/>
        </w:rPr>
        <w:t>采购评审</w:t>
      </w:r>
      <w:r>
        <w:rPr>
          <w:rFonts w:ascii="宋体" w:hAnsi="宋体"/>
          <w:sz w:val="24"/>
          <w:szCs w:val="24"/>
        </w:rPr>
        <w:t>的内容包括：对</w:t>
      </w:r>
      <w:r>
        <w:rPr>
          <w:rFonts w:hint="eastAsia" w:ascii="宋体" w:hAnsi="宋体"/>
          <w:sz w:val="24"/>
          <w:szCs w:val="24"/>
        </w:rPr>
        <w:t>采购</w:t>
      </w:r>
      <w:r>
        <w:rPr>
          <w:rFonts w:ascii="宋体" w:hAnsi="宋体"/>
          <w:sz w:val="24"/>
          <w:szCs w:val="24"/>
        </w:rPr>
        <w:t>文件响应程度、企业实力与信誉、报价的</w:t>
      </w:r>
      <w:r>
        <w:rPr>
          <w:rFonts w:hint="eastAsia" w:ascii="宋体" w:hAnsi="宋体"/>
          <w:sz w:val="24"/>
          <w:szCs w:val="24"/>
        </w:rPr>
        <w:t>情况</w:t>
      </w:r>
      <w:r>
        <w:rPr>
          <w:rFonts w:ascii="宋体" w:hAnsi="宋体"/>
          <w:sz w:val="24"/>
          <w:szCs w:val="24"/>
        </w:rPr>
        <w:t>和</w:t>
      </w:r>
      <w:r>
        <w:rPr>
          <w:rFonts w:hint="eastAsia" w:ascii="宋体" w:hAnsi="宋体"/>
          <w:sz w:val="24"/>
          <w:szCs w:val="24"/>
        </w:rPr>
        <w:t>审议</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3.3采购</w:t>
      </w:r>
      <w:r>
        <w:rPr>
          <w:rFonts w:ascii="宋体" w:hAnsi="宋体"/>
          <w:sz w:val="24"/>
          <w:szCs w:val="24"/>
        </w:rPr>
        <w:t>规定及程序</w:t>
      </w:r>
    </w:p>
    <w:p>
      <w:pPr>
        <w:spacing w:line="360" w:lineRule="auto"/>
        <w:rPr>
          <w:rFonts w:ascii="宋体" w:hAnsi="宋体"/>
          <w:sz w:val="24"/>
          <w:szCs w:val="24"/>
        </w:rPr>
      </w:pPr>
      <w:r>
        <w:rPr>
          <w:rFonts w:hint="eastAsia" w:ascii="宋体" w:hAnsi="宋体"/>
          <w:sz w:val="24"/>
          <w:szCs w:val="24"/>
        </w:rPr>
        <w:t>3.3.1采购程序：采购准备→资格评审→</w:t>
      </w:r>
      <w:r>
        <w:rPr>
          <w:rFonts w:hint="eastAsia" w:ascii="宋体" w:hAnsi="宋体"/>
          <w:sz w:val="24"/>
          <w:szCs w:val="24"/>
          <w:lang w:eastAsia="zh-CN"/>
        </w:rPr>
        <w:t>详细评审</w:t>
      </w:r>
      <w:r>
        <w:rPr>
          <w:rFonts w:hint="eastAsia" w:ascii="宋体" w:hAnsi="宋体"/>
          <w:sz w:val="24"/>
          <w:szCs w:val="24"/>
        </w:rPr>
        <w:t>→</w:t>
      </w:r>
      <w:r>
        <w:rPr>
          <w:rFonts w:hint="eastAsia" w:ascii="宋体" w:hAnsi="宋体"/>
          <w:sz w:val="24"/>
          <w:szCs w:val="24"/>
          <w:lang w:eastAsia="zh-CN"/>
        </w:rPr>
        <w:t>两轮报价</w:t>
      </w:r>
      <w:r>
        <w:rPr>
          <w:rFonts w:hint="eastAsia" w:ascii="宋体" w:hAnsi="宋体"/>
          <w:sz w:val="24"/>
          <w:szCs w:val="24"/>
        </w:rPr>
        <w:t>→采购汇报材料→采购结果公示。</w:t>
      </w:r>
    </w:p>
    <w:p>
      <w:pPr>
        <w:spacing w:line="360" w:lineRule="auto"/>
        <w:rPr>
          <w:rFonts w:ascii="宋体" w:hAnsi="宋体"/>
          <w:sz w:val="24"/>
          <w:szCs w:val="24"/>
        </w:rPr>
      </w:pPr>
      <w:r>
        <w:rPr>
          <w:rFonts w:hint="eastAsia" w:ascii="宋体" w:hAnsi="宋体"/>
          <w:sz w:val="24"/>
          <w:szCs w:val="24"/>
        </w:rPr>
        <w:t>3.3.2资格</w:t>
      </w:r>
      <w:r>
        <w:rPr>
          <w:rFonts w:ascii="宋体" w:hAnsi="宋体"/>
          <w:sz w:val="24"/>
          <w:szCs w:val="24"/>
        </w:rPr>
        <w:t>审查和详细</w:t>
      </w:r>
      <w:r>
        <w:rPr>
          <w:rFonts w:hint="eastAsia" w:ascii="宋体" w:hAnsi="宋体"/>
          <w:sz w:val="24"/>
          <w:szCs w:val="24"/>
        </w:rPr>
        <w:t>评审</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①</w:t>
      </w:r>
      <w:r>
        <w:rPr>
          <w:rFonts w:hint="eastAsia" w:ascii="宋体" w:hAnsi="宋体"/>
          <w:sz w:val="24"/>
          <w:szCs w:val="24"/>
          <w:lang w:eastAsia="zh-CN"/>
        </w:rPr>
        <w:t>资格</w:t>
      </w:r>
      <w:r>
        <w:rPr>
          <w:rFonts w:ascii="宋体" w:hAnsi="宋体"/>
          <w:sz w:val="24"/>
          <w:szCs w:val="24"/>
        </w:rPr>
        <w:t>审查重点审查</w:t>
      </w:r>
      <w:r>
        <w:rPr>
          <w:rFonts w:hint="eastAsia" w:ascii="宋体" w:hAnsi="宋体"/>
          <w:sz w:val="24"/>
          <w:szCs w:val="24"/>
        </w:rPr>
        <w:t>响应文件</w:t>
      </w:r>
      <w:r>
        <w:rPr>
          <w:rFonts w:ascii="宋体" w:hAnsi="宋体"/>
          <w:sz w:val="24"/>
          <w:szCs w:val="24"/>
        </w:rPr>
        <w:t>是否实质响应了</w:t>
      </w:r>
      <w:r>
        <w:rPr>
          <w:rFonts w:hint="eastAsia" w:ascii="宋体" w:hAnsi="宋体"/>
          <w:sz w:val="24"/>
          <w:szCs w:val="24"/>
        </w:rPr>
        <w:t>采购</w:t>
      </w:r>
      <w:r>
        <w:rPr>
          <w:rFonts w:ascii="宋体" w:hAnsi="宋体"/>
          <w:sz w:val="24"/>
          <w:szCs w:val="24"/>
        </w:rPr>
        <w:t>文件、其</w:t>
      </w:r>
      <w:r>
        <w:rPr>
          <w:rFonts w:hint="eastAsia" w:ascii="宋体" w:hAnsi="宋体"/>
          <w:sz w:val="24"/>
          <w:szCs w:val="24"/>
        </w:rPr>
        <w:t>响应文件</w:t>
      </w:r>
      <w:r>
        <w:rPr>
          <w:rFonts w:ascii="宋体" w:hAnsi="宋体"/>
          <w:sz w:val="24"/>
          <w:szCs w:val="24"/>
        </w:rPr>
        <w:t>格式是否满足</w:t>
      </w:r>
      <w:r>
        <w:rPr>
          <w:rFonts w:hint="eastAsia" w:ascii="宋体" w:hAnsi="宋体"/>
          <w:sz w:val="24"/>
          <w:szCs w:val="24"/>
        </w:rPr>
        <w:t>采购</w:t>
      </w:r>
      <w:r>
        <w:rPr>
          <w:rFonts w:ascii="宋体" w:hAnsi="宋体"/>
          <w:sz w:val="24"/>
          <w:szCs w:val="24"/>
        </w:rPr>
        <w:t>文件要求，签章是否齐全、</w:t>
      </w:r>
      <w:r>
        <w:rPr>
          <w:rFonts w:hint="eastAsia" w:ascii="宋体" w:hAnsi="宋体"/>
          <w:sz w:val="24"/>
          <w:szCs w:val="24"/>
        </w:rPr>
        <w:t>报价</w:t>
      </w:r>
      <w:r>
        <w:rPr>
          <w:rFonts w:ascii="宋体" w:hAnsi="宋体"/>
          <w:sz w:val="24"/>
          <w:szCs w:val="24"/>
        </w:rPr>
        <w:t>保证金和</w:t>
      </w:r>
      <w:r>
        <w:rPr>
          <w:rFonts w:hint="eastAsia" w:ascii="宋体" w:hAnsi="宋体"/>
          <w:sz w:val="24"/>
          <w:szCs w:val="24"/>
        </w:rPr>
        <w:t>报价</w:t>
      </w:r>
      <w:r>
        <w:rPr>
          <w:rFonts w:ascii="宋体" w:hAnsi="宋体"/>
          <w:sz w:val="24"/>
          <w:szCs w:val="24"/>
        </w:rPr>
        <w:t>有效期是否符合</w:t>
      </w:r>
      <w:r>
        <w:rPr>
          <w:rFonts w:hint="eastAsia" w:ascii="宋体" w:hAnsi="宋体"/>
          <w:sz w:val="24"/>
          <w:szCs w:val="24"/>
        </w:rPr>
        <w:t>采购</w:t>
      </w:r>
      <w:r>
        <w:rPr>
          <w:rFonts w:ascii="宋体" w:hAnsi="宋体"/>
          <w:sz w:val="24"/>
          <w:szCs w:val="24"/>
        </w:rPr>
        <w:t>文件要求。</w:t>
      </w:r>
      <w:r>
        <w:rPr>
          <w:rFonts w:hint="eastAsia" w:ascii="宋体" w:hAnsi="宋体"/>
          <w:sz w:val="24"/>
          <w:szCs w:val="24"/>
        </w:rPr>
        <w:t>资格</w:t>
      </w:r>
      <w:r>
        <w:rPr>
          <w:rFonts w:ascii="宋体" w:hAnsi="宋体"/>
          <w:sz w:val="24"/>
          <w:szCs w:val="24"/>
        </w:rPr>
        <w:t>审查重点审查</w:t>
      </w:r>
      <w:r>
        <w:rPr>
          <w:rFonts w:hint="eastAsia" w:ascii="宋体" w:hAnsi="宋体"/>
          <w:sz w:val="24"/>
          <w:szCs w:val="24"/>
        </w:rPr>
        <w:t>供应商资质、业绩、信誉等</w:t>
      </w:r>
      <w:r>
        <w:rPr>
          <w:rFonts w:ascii="宋体" w:hAnsi="宋体"/>
          <w:sz w:val="24"/>
          <w:szCs w:val="24"/>
        </w:rPr>
        <w:t>是否符合</w:t>
      </w:r>
      <w:r>
        <w:rPr>
          <w:rFonts w:hint="eastAsia" w:ascii="宋体" w:hAnsi="宋体"/>
          <w:sz w:val="24"/>
          <w:szCs w:val="24"/>
        </w:rPr>
        <w:t>采购</w:t>
      </w:r>
      <w:r>
        <w:rPr>
          <w:rFonts w:ascii="宋体" w:hAnsi="宋体"/>
          <w:sz w:val="24"/>
          <w:szCs w:val="24"/>
        </w:rPr>
        <w:t>文件要求</w:t>
      </w:r>
      <w:r>
        <w:rPr>
          <w:rFonts w:hint="eastAsia" w:ascii="宋体" w:hAnsi="宋体"/>
          <w:sz w:val="24"/>
          <w:szCs w:val="24"/>
        </w:rPr>
        <w:t>。</w:t>
      </w:r>
    </w:p>
    <w:p>
      <w:pPr>
        <w:spacing w:line="360" w:lineRule="auto"/>
        <w:rPr>
          <w:rFonts w:ascii="宋体" w:hAnsi="宋体"/>
          <w:sz w:val="24"/>
          <w:szCs w:val="24"/>
        </w:rPr>
      </w:pPr>
      <w:r>
        <w:rPr>
          <w:rFonts w:ascii="宋体" w:hAnsi="宋体"/>
          <w:sz w:val="24"/>
          <w:szCs w:val="24"/>
        </w:rPr>
        <w:t>②详细</w:t>
      </w:r>
      <w:r>
        <w:rPr>
          <w:rFonts w:hint="eastAsia" w:ascii="宋体" w:hAnsi="宋体"/>
          <w:sz w:val="24"/>
          <w:szCs w:val="24"/>
        </w:rPr>
        <w:t>评审：</w:t>
      </w:r>
      <w:r>
        <w:rPr>
          <w:rFonts w:hint="eastAsia" w:ascii="宋体" w:hAnsi="宋体"/>
          <w:sz w:val="24"/>
          <w:szCs w:val="24"/>
          <w:lang w:eastAsia="zh-CN"/>
        </w:rPr>
        <w:t>采购</w:t>
      </w:r>
      <w:r>
        <w:rPr>
          <w:rFonts w:ascii="宋体" w:hAnsi="宋体"/>
          <w:sz w:val="24"/>
          <w:szCs w:val="24"/>
        </w:rPr>
        <w:t>小组要审查每份</w:t>
      </w:r>
      <w:r>
        <w:rPr>
          <w:rFonts w:hint="eastAsia" w:ascii="宋体" w:hAnsi="宋体"/>
          <w:sz w:val="24"/>
          <w:szCs w:val="24"/>
        </w:rPr>
        <w:t>响应文件报价</w:t>
      </w:r>
      <w:r>
        <w:rPr>
          <w:rFonts w:ascii="宋体" w:hAnsi="宋体"/>
          <w:sz w:val="24"/>
          <w:szCs w:val="24"/>
        </w:rPr>
        <w:t>有无计算上的错误</w:t>
      </w:r>
      <w:r>
        <w:rPr>
          <w:rFonts w:hint="eastAsia" w:ascii="宋体" w:hAnsi="宋体"/>
          <w:sz w:val="24"/>
          <w:szCs w:val="24"/>
        </w:rPr>
        <w:t>，是否与采购</w:t>
      </w:r>
      <w:r>
        <w:rPr>
          <w:rFonts w:ascii="宋体" w:hAnsi="宋体"/>
          <w:sz w:val="24"/>
          <w:szCs w:val="24"/>
        </w:rPr>
        <w:t>文件要求的全部条款、条件及参数</w:t>
      </w:r>
      <w:r>
        <w:rPr>
          <w:rFonts w:hint="eastAsia" w:ascii="宋体" w:hAnsi="宋体"/>
          <w:sz w:val="24"/>
          <w:szCs w:val="24"/>
        </w:rPr>
        <w:t>相符</w:t>
      </w:r>
      <w:r>
        <w:rPr>
          <w:rFonts w:ascii="宋体" w:hAnsi="宋体"/>
          <w:sz w:val="24"/>
          <w:szCs w:val="24"/>
        </w:rPr>
        <w:t>，没有重大偏离</w:t>
      </w:r>
      <w:r>
        <w:rPr>
          <w:rFonts w:hint="eastAsia" w:ascii="宋体" w:hAnsi="宋体"/>
          <w:sz w:val="24"/>
          <w:szCs w:val="24"/>
        </w:rPr>
        <w:t>，</w:t>
      </w:r>
      <w:r>
        <w:rPr>
          <w:rFonts w:ascii="宋体" w:hAnsi="宋体"/>
          <w:sz w:val="24"/>
          <w:szCs w:val="24"/>
        </w:rPr>
        <w:t>对关键条文的偏离、保留或反对将被认为是实质上的偏离。</w:t>
      </w:r>
    </w:p>
    <w:p>
      <w:pPr>
        <w:pStyle w:val="3"/>
        <w:spacing w:line="360" w:lineRule="auto"/>
        <w:ind w:firstLine="0" w:firstLineChars="0"/>
        <w:rPr>
          <w:rFonts w:ascii="宋体" w:hAnsi="宋体"/>
          <w:b w:val="0"/>
          <w:bCs/>
        </w:rPr>
      </w:pPr>
      <w:r>
        <w:rPr>
          <w:rFonts w:hint="eastAsia" w:ascii="宋体" w:hAnsi="宋体"/>
          <w:b w:val="0"/>
          <w:bCs/>
        </w:rPr>
        <w:t>3.3.</w:t>
      </w:r>
      <w:r>
        <w:rPr>
          <w:rFonts w:hint="eastAsia" w:ascii="宋体" w:hAnsi="宋体"/>
          <w:b w:val="0"/>
          <w:bCs/>
          <w:lang w:val="en-US" w:eastAsia="zh-CN"/>
        </w:rPr>
        <w:t>3</w:t>
      </w:r>
      <w:r>
        <w:rPr>
          <w:rFonts w:hint="eastAsia" w:ascii="宋体" w:hAnsi="宋体"/>
          <w:b w:val="0"/>
          <w:bCs/>
        </w:rPr>
        <w:t>资格评审包括但不限于以下内容（供应商只有通过资格审查才能进入详细评审）：</w:t>
      </w:r>
    </w:p>
    <w:tbl>
      <w:tblPr>
        <w:tblStyle w:val="54"/>
        <w:tblW w:w="5158" w:type="pct"/>
        <w:jc w:val="center"/>
        <w:tblLayout w:type="autofit"/>
        <w:tblCellMar>
          <w:top w:w="0" w:type="dxa"/>
          <w:left w:w="108" w:type="dxa"/>
          <w:bottom w:w="0" w:type="dxa"/>
          <w:right w:w="108" w:type="dxa"/>
        </w:tblCellMar>
      </w:tblPr>
      <w:tblGrid>
        <w:gridCol w:w="431"/>
        <w:gridCol w:w="768"/>
        <w:gridCol w:w="1441"/>
        <w:gridCol w:w="1056"/>
        <w:gridCol w:w="1682"/>
        <w:gridCol w:w="1265"/>
        <w:gridCol w:w="2137"/>
        <w:gridCol w:w="480"/>
      </w:tblGrid>
      <w:tr>
        <w:tblPrEx>
          <w:tblCellMar>
            <w:top w:w="0" w:type="dxa"/>
            <w:left w:w="108" w:type="dxa"/>
            <w:bottom w:w="0" w:type="dxa"/>
            <w:right w:w="108" w:type="dxa"/>
          </w:tblCellMar>
        </w:tblPrEx>
        <w:trPr>
          <w:trHeight w:val="464"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b/>
                <w:sz w:val="24"/>
              </w:rPr>
            </w:pPr>
            <w:r>
              <w:rPr>
                <w:rFonts w:hint="eastAsia" w:ascii="宋体" w:hAnsi="宋体"/>
                <w:b/>
                <w:sz w:val="24"/>
              </w:rPr>
              <w:t>资格审查表</w:t>
            </w:r>
          </w:p>
        </w:tc>
      </w:tr>
      <w:tr>
        <w:tblPrEx>
          <w:tblCellMar>
            <w:top w:w="0" w:type="dxa"/>
            <w:left w:w="108" w:type="dxa"/>
            <w:bottom w:w="0" w:type="dxa"/>
            <w:right w:w="108" w:type="dxa"/>
          </w:tblCellMar>
        </w:tblPrEx>
        <w:trPr>
          <w:trHeight w:val="619"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sz w:val="24"/>
              </w:rPr>
            </w:pPr>
            <w:r>
              <w:rPr>
                <w:rFonts w:hint="eastAsia" w:ascii="宋体" w:hAnsi="宋体"/>
                <w:sz w:val="24"/>
              </w:rPr>
              <w:t>项目名称：××××××××××</w:t>
            </w:r>
          </w:p>
          <w:p>
            <w:pPr>
              <w:widowControl/>
              <w:jc w:val="left"/>
              <w:rPr>
                <w:rFonts w:hint="eastAsia" w:ascii="宋体" w:hAnsi="宋体"/>
                <w:sz w:val="24"/>
              </w:rPr>
            </w:pPr>
            <w:r>
              <w:rPr>
                <w:rFonts w:hint="eastAsia" w:ascii="宋体" w:hAnsi="宋体"/>
                <w:sz w:val="24"/>
              </w:rPr>
              <w:t xml:space="preserve">采购编号：××××××    </w:t>
            </w:r>
            <w:r>
              <w:rPr>
                <w:rFonts w:hint="eastAsia" w:ascii="宋体" w:hAnsi="宋体"/>
                <w:sz w:val="24"/>
                <w:lang w:eastAsia="zh-CN"/>
              </w:rPr>
              <w:t>采购</w:t>
            </w:r>
            <w:r>
              <w:rPr>
                <w:rFonts w:hint="eastAsia" w:ascii="宋体" w:hAnsi="宋体"/>
                <w:sz w:val="24"/>
              </w:rPr>
              <w:t>时间：××××年×月×日</w:t>
            </w:r>
          </w:p>
        </w:tc>
      </w:tr>
      <w:tr>
        <w:tblPrEx>
          <w:tblCellMar>
            <w:top w:w="0" w:type="dxa"/>
            <w:left w:w="108" w:type="dxa"/>
            <w:bottom w:w="0" w:type="dxa"/>
            <w:right w:w="108" w:type="dxa"/>
          </w:tblCellMar>
        </w:tblPrEx>
        <w:trPr>
          <w:trHeight w:val="1043" w:hRule="atLeast"/>
          <w:jc w:val="center"/>
        </w:trPr>
        <w:tc>
          <w:tcPr>
            <w:tcW w:w="233"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楷体" w:hAnsi="楷体" w:eastAsia="楷体" w:cs="宋体"/>
                <w:kern w:val="0"/>
                <w:sz w:val="16"/>
                <w:szCs w:val="20"/>
              </w:rPr>
            </w:pPr>
            <w:r>
              <w:rPr>
                <w:rFonts w:hint="eastAsia" w:ascii="楷体" w:hAnsi="楷体" w:eastAsia="楷体" w:cs="宋体"/>
                <w:kern w:val="0"/>
                <w:sz w:val="16"/>
                <w:szCs w:val="20"/>
              </w:rPr>
              <w:t>序号</w:t>
            </w:r>
          </w:p>
        </w:tc>
        <w:tc>
          <w:tcPr>
            <w:tcW w:w="41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16"/>
                <w:szCs w:val="20"/>
              </w:rPr>
            </w:pPr>
            <w:r>
              <w:rPr>
                <w:rFonts w:hint="eastAsia" w:ascii="楷体" w:hAnsi="楷体" w:eastAsia="楷体" w:cs="宋体"/>
                <w:kern w:val="0"/>
                <w:sz w:val="16"/>
                <w:szCs w:val="20"/>
              </w:rPr>
              <w:t>供应商名称</w:t>
            </w:r>
          </w:p>
        </w:tc>
        <w:tc>
          <w:tcPr>
            <w:tcW w:w="778"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楷体" w:hAnsi="楷体" w:eastAsia="楷体" w:cs="宋体"/>
                <w:kern w:val="0"/>
                <w:sz w:val="16"/>
                <w:szCs w:val="20"/>
              </w:rPr>
            </w:pPr>
            <w:r>
              <w:rPr>
                <w:rFonts w:hint="eastAsia" w:ascii="楷体" w:hAnsi="楷体" w:eastAsia="楷体" w:cs="宋体"/>
                <w:kern w:val="0"/>
                <w:sz w:val="16"/>
                <w:szCs w:val="20"/>
              </w:rPr>
              <w:t>具备有效的营业执照且营业范围符合项目要求</w:t>
            </w:r>
          </w:p>
        </w:tc>
        <w:tc>
          <w:tcPr>
            <w:tcW w:w="570"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楷体" w:hAnsi="楷体" w:eastAsia="楷体" w:cs="宋体"/>
                <w:kern w:val="0"/>
                <w:sz w:val="16"/>
                <w:szCs w:val="20"/>
              </w:rPr>
            </w:pPr>
            <w:r>
              <w:rPr>
                <w:rFonts w:hint="eastAsia" w:ascii="楷体" w:hAnsi="楷体" w:eastAsia="楷体" w:cs="宋体"/>
                <w:kern w:val="0"/>
                <w:sz w:val="16"/>
                <w:szCs w:val="20"/>
              </w:rPr>
              <w:t>资质证书的真实性和有效性</w:t>
            </w:r>
          </w:p>
        </w:tc>
        <w:tc>
          <w:tcPr>
            <w:tcW w:w="908"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楷体" w:hAnsi="楷体" w:eastAsia="楷体" w:cs="宋体"/>
                <w:kern w:val="0"/>
                <w:sz w:val="16"/>
                <w:szCs w:val="20"/>
              </w:rPr>
            </w:pPr>
            <w:r>
              <w:rPr>
                <w:rFonts w:hint="eastAsia" w:ascii="楷体" w:hAnsi="楷体" w:eastAsia="楷体" w:cs="宋体"/>
                <w:kern w:val="0"/>
                <w:sz w:val="16"/>
                <w:szCs w:val="20"/>
              </w:rPr>
              <w:t>是否存在禁止报价的情形，列入中铝集团负面名单</w:t>
            </w:r>
          </w:p>
        </w:tc>
        <w:tc>
          <w:tcPr>
            <w:tcW w:w="683"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楷体" w:hAnsi="楷体" w:eastAsia="楷体" w:cs="宋体"/>
                <w:kern w:val="0"/>
                <w:sz w:val="16"/>
                <w:szCs w:val="20"/>
              </w:rPr>
            </w:pPr>
            <w:r>
              <w:rPr>
                <w:rFonts w:hint="eastAsia" w:ascii="楷体" w:hAnsi="楷体" w:eastAsia="楷体" w:cs="宋体"/>
                <w:kern w:val="0"/>
                <w:sz w:val="16"/>
                <w:szCs w:val="20"/>
              </w:rPr>
              <w:t>财务状况是否满足采购文件要求</w:t>
            </w:r>
          </w:p>
        </w:tc>
        <w:tc>
          <w:tcPr>
            <w:tcW w:w="1154"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hint="eastAsia" w:ascii="楷体" w:hAnsi="楷体" w:eastAsia="楷体" w:cs="宋体"/>
                <w:kern w:val="0"/>
                <w:sz w:val="16"/>
                <w:szCs w:val="20"/>
              </w:rPr>
            </w:pPr>
            <w:r>
              <w:rPr>
                <w:rFonts w:hint="eastAsia" w:ascii="楷体" w:hAnsi="楷体" w:eastAsia="楷体" w:cs="宋体"/>
                <w:kern w:val="0"/>
                <w:sz w:val="16"/>
                <w:szCs w:val="20"/>
              </w:rPr>
              <w:t>是否响应采购文件要求供应商近3年至少具有</w:t>
            </w:r>
            <w:r>
              <w:rPr>
                <w:rFonts w:hint="eastAsia" w:ascii="楷体" w:hAnsi="楷体" w:eastAsia="楷体" w:cs="宋体"/>
                <w:kern w:val="0"/>
                <w:sz w:val="16"/>
                <w:szCs w:val="20"/>
                <w:lang w:val="en-US" w:eastAsia="zh-CN"/>
              </w:rPr>
              <w:t>1</w:t>
            </w:r>
            <w:r>
              <w:rPr>
                <w:rFonts w:hint="eastAsia" w:ascii="楷体" w:hAnsi="楷体" w:eastAsia="楷体" w:cs="宋体"/>
                <w:kern w:val="0"/>
                <w:sz w:val="16"/>
                <w:szCs w:val="20"/>
              </w:rPr>
              <w:t>项销售业绩</w:t>
            </w:r>
          </w:p>
        </w:tc>
        <w:tc>
          <w:tcPr>
            <w:tcW w:w="255" w:type="pct"/>
            <w:tcBorders>
              <w:top w:val="single" w:color="auto" w:sz="4" w:space="0"/>
              <w:left w:val="nil"/>
              <w:bottom w:val="single" w:color="auto" w:sz="4" w:space="0"/>
              <w:right w:val="single" w:color="auto" w:sz="4" w:space="0"/>
            </w:tcBorders>
            <w:shd w:val="clear" w:color="auto" w:fill="auto"/>
            <w:vAlign w:val="center"/>
          </w:tcPr>
          <w:p>
            <w:pPr>
              <w:jc w:val="center"/>
              <w:rPr>
                <w:rFonts w:ascii="楷体" w:hAnsi="楷体" w:eastAsia="楷体" w:cs="宋体"/>
                <w:kern w:val="0"/>
                <w:sz w:val="16"/>
                <w:szCs w:val="20"/>
              </w:rPr>
            </w:pPr>
            <w:r>
              <w:rPr>
                <w:rFonts w:hint="eastAsia" w:ascii="楷体" w:hAnsi="楷体" w:eastAsia="楷体" w:cs="宋体"/>
                <w:kern w:val="0"/>
                <w:sz w:val="16"/>
                <w:szCs w:val="20"/>
              </w:rPr>
              <w:t>结论</w:t>
            </w:r>
          </w:p>
        </w:tc>
      </w:tr>
      <w:tr>
        <w:tblPrEx>
          <w:tblCellMar>
            <w:top w:w="0" w:type="dxa"/>
            <w:left w:w="108" w:type="dxa"/>
            <w:bottom w:w="0" w:type="dxa"/>
            <w:right w:w="108" w:type="dxa"/>
          </w:tblCellMar>
        </w:tblPrEx>
        <w:trPr>
          <w:trHeight w:val="315" w:hRule="atLeast"/>
          <w:jc w:val="center"/>
        </w:trPr>
        <w:tc>
          <w:tcPr>
            <w:tcW w:w="23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p>
        </w:tc>
        <w:tc>
          <w:tcPr>
            <w:tcW w:w="778" w:type="pct"/>
            <w:tcBorders>
              <w:top w:val="nil"/>
              <w:left w:val="nil"/>
              <w:bottom w:val="single" w:color="auto" w:sz="4" w:space="0"/>
              <w:right w:val="single" w:color="auto" w:sz="4" w:space="0"/>
            </w:tcBorders>
            <w:shd w:val="clear" w:color="auto" w:fill="auto"/>
            <w:vAlign w:val="center"/>
          </w:tcPr>
          <w:p>
            <w:pPr>
              <w:widowControl/>
              <w:rPr>
                <w:rFonts w:ascii="楷体" w:hAnsi="楷体" w:eastAsia="楷体" w:cs="宋体"/>
                <w:kern w:val="0"/>
                <w:sz w:val="20"/>
                <w:szCs w:val="20"/>
              </w:rPr>
            </w:pPr>
            <w:r>
              <w:rPr>
                <w:rFonts w:hint="eastAsia" w:ascii="楷体" w:hAnsi="楷体" w:eastAsia="楷体" w:cs="宋体"/>
                <w:kern w:val="0"/>
                <w:sz w:val="20"/>
                <w:szCs w:val="20"/>
              </w:rPr>
              <w:t xml:space="preserve">　             </w:t>
            </w:r>
          </w:p>
        </w:tc>
        <w:tc>
          <w:tcPr>
            <w:tcW w:w="570" w:type="pct"/>
            <w:tcBorders>
              <w:top w:val="nil"/>
              <w:left w:val="nil"/>
              <w:bottom w:val="single" w:color="auto" w:sz="4" w:space="0"/>
              <w:right w:val="single" w:color="auto" w:sz="4" w:space="0"/>
            </w:tcBorders>
            <w:shd w:val="clear" w:color="auto" w:fill="auto"/>
            <w:vAlign w:val="center"/>
          </w:tcPr>
          <w:p>
            <w:pPr>
              <w:widowControl/>
              <w:rPr>
                <w:rFonts w:ascii="楷体" w:hAnsi="楷体" w:eastAsia="楷体" w:cs="宋体"/>
                <w:kern w:val="0"/>
                <w:sz w:val="20"/>
                <w:szCs w:val="20"/>
              </w:rPr>
            </w:pPr>
          </w:p>
        </w:tc>
        <w:tc>
          <w:tcPr>
            <w:tcW w:w="908" w:type="pct"/>
            <w:tcBorders>
              <w:top w:val="nil"/>
              <w:left w:val="nil"/>
              <w:bottom w:val="single" w:color="auto" w:sz="4" w:space="0"/>
              <w:right w:val="single" w:color="auto" w:sz="4" w:space="0"/>
            </w:tcBorders>
            <w:shd w:val="clear" w:color="auto" w:fill="auto"/>
            <w:vAlign w:val="center"/>
          </w:tcPr>
          <w:p>
            <w:pPr>
              <w:widowControl/>
              <w:rPr>
                <w:rFonts w:ascii="楷体" w:hAnsi="楷体" w:eastAsia="楷体" w:cs="宋体"/>
                <w:kern w:val="0"/>
                <w:sz w:val="20"/>
                <w:szCs w:val="20"/>
              </w:rPr>
            </w:pPr>
          </w:p>
        </w:tc>
        <w:tc>
          <w:tcPr>
            <w:tcW w:w="683" w:type="pct"/>
            <w:tcBorders>
              <w:top w:val="nil"/>
              <w:left w:val="nil"/>
              <w:bottom w:val="single" w:color="auto" w:sz="4" w:space="0"/>
              <w:right w:val="single" w:color="auto" w:sz="4" w:space="0"/>
            </w:tcBorders>
            <w:shd w:val="clear" w:color="auto" w:fill="auto"/>
            <w:vAlign w:val="center"/>
          </w:tcPr>
          <w:p>
            <w:pPr>
              <w:widowControl/>
              <w:rPr>
                <w:rFonts w:ascii="楷体" w:hAnsi="楷体" w:eastAsia="楷体" w:cs="宋体"/>
                <w:kern w:val="0"/>
                <w:sz w:val="20"/>
                <w:szCs w:val="20"/>
              </w:rPr>
            </w:pPr>
          </w:p>
        </w:tc>
        <w:tc>
          <w:tcPr>
            <w:tcW w:w="1154" w:type="pct"/>
            <w:tcBorders>
              <w:top w:val="nil"/>
              <w:left w:val="nil"/>
              <w:bottom w:val="single" w:color="auto" w:sz="4" w:space="0"/>
              <w:right w:val="single" w:color="auto" w:sz="4" w:space="0"/>
            </w:tcBorders>
            <w:shd w:val="clear" w:color="auto" w:fill="auto"/>
            <w:vAlign w:val="center"/>
          </w:tcPr>
          <w:p>
            <w:pPr>
              <w:widowControl/>
              <w:rPr>
                <w:rFonts w:ascii="楷体" w:hAnsi="楷体" w:eastAsia="楷体" w:cs="宋体"/>
                <w:kern w:val="0"/>
                <w:sz w:val="20"/>
                <w:szCs w:val="20"/>
              </w:rPr>
            </w:pPr>
          </w:p>
        </w:tc>
        <w:tc>
          <w:tcPr>
            <w:tcW w:w="255" w:type="pct"/>
            <w:tcBorders>
              <w:top w:val="nil"/>
              <w:left w:val="nil"/>
              <w:bottom w:val="single" w:color="auto" w:sz="4" w:space="0"/>
              <w:right w:val="single" w:color="auto" w:sz="4" w:space="0"/>
            </w:tcBorders>
            <w:shd w:val="clear" w:color="auto" w:fill="auto"/>
            <w:vAlign w:val="center"/>
          </w:tcPr>
          <w:p>
            <w:pPr>
              <w:widowControl/>
              <w:rPr>
                <w:rFonts w:ascii="楷体" w:hAnsi="楷体" w:eastAsia="楷体" w:cs="宋体"/>
                <w:kern w:val="0"/>
                <w:sz w:val="20"/>
                <w:szCs w:val="20"/>
              </w:rPr>
            </w:pPr>
          </w:p>
        </w:tc>
      </w:tr>
      <w:tr>
        <w:tblPrEx>
          <w:tblCellMar>
            <w:top w:w="0" w:type="dxa"/>
            <w:left w:w="108" w:type="dxa"/>
            <w:bottom w:w="0" w:type="dxa"/>
            <w:right w:w="108" w:type="dxa"/>
          </w:tblCellMar>
        </w:tblPrEx>
        <w:trPr>
          <w:trHeight w:val="315" w:hRule="atLeast"/>
          <w:jc w:val="center"/>
        </w:trPr>
        <w:tc>
          <w:tcPr>
            <w:tcW w:w="233"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楷体" w:hAnsi="楷体" w:eastAsia="楷体" w:cs="宋体"/>
                <w:kern w:val="0"/>
                <w:sz w:val="20"/>
                <w:szCs w:val="20"/>
              </w:rPr>
            </w:pPr>
            <w:r>
              <w:rPr>
                <w:rFonts w:ascii="楷体" w:hAnsi="楷体" w:eastAsia="楷体" w:cs="宋体"/>
                <w:kern w:val="0"/>
                <w:sz w:val="20"/>
                <w:szCs w:val="20"/>
              </w:rPr>
              <w:t>…</w:t>
            </w:r>
          </w:p>
        </w:tc>
        <w:tc>
          <w:tcPr>
            <w:tcW w:w="41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ascii="楷体" w:hAnsi="楷体" w:eastAsia="楷体" w:cs="宋体"/>
                <w:kern w:val="0"/>
                <w:sz w:val="20"/>
                <w:szCs w:val="20"/>
              </w:rPr>
              <w:t>…</w:t>
            </w:r>
          </w:p>
        </w:tc>
        <w:tc>
          <w:tcPr>
            <w:tcW w:w="77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ascii="楷体" w:hAnsi="楷体" w:eastAsia="楷体" w:cs="宋体"/>
                <w:kern w:val="0"/>
                <w:sz w:val="20"/>
                <w:szCs w:val="20"/>
              </w:rPr>
              <w:t>…</w:t>
            </w:r>
          </w:p>
        </w:tc>
        <w:tc>
          <w:tcPr>
            <w:tcW w:w="57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p>
        </w:tc>
        <w:tc>
          <w:tcPr>
            <w:tcW w:w="90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p>
        </w:tc>
        <w:tc>
          <w:tcPr>
            <w:tcW w:w="68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p>
        </w:tc>
        <w:tc>
          <w:tcPr>
            <w:tcW w:w="115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p>
        </w:tc>
        <w:tc>
          <w:tcPr>
            <w:tcW w:w="25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ascii="楷体" w:hAnsi="楷体" w:eastAsia="楷体" w:cs="宋体"/>
                <w:kern w:val="0"/>
                <w:sz w:val="20"/>
                <w:szCs w:val="20"/>
              </w:rPr>
              <w:t>…</w:t>
            </w:r>
          </w:p>
        </w:tc>
      </w:tr>
      <w:tr>
        <w:tblPrEx>
          <w:tblCellMar>
            <w:top w:w="0" w:type="dxa"/>
            <w:left w:w="108" w:type="dxa"/>
            <w:bottom w:w="0" w:type="dxa"/>
            <w:right w:w="108" w:type="dxa"/>
          </w:tblCellMar>
        </w:tblPrEx>
        <w:trPr>
          <w:trHeight w:val="629"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楷体" w:hAnsi="楷体" w:eastAsia="楷体" w:cs="宋体"/>
                <w:b/>
                <w:kern w:val="0"/>
                <w:sz w:val="20"/>
                <w:szCs w:val="20"/>
              </w:rPr>
            </w:pPr>
            <w:r>
              <w:rPr>
                <w:rFonts w:hint="eastAsia" w:ascii="楷体" w:hAnsi="楷体" w:eastAsia="楷体" w:cs="宋体"/>
                <w:b/>
                <w:kern w:val="0"/>
                <w:sz w:val="20"/>
                <w:szCs w:val="20"/>
              </w:rPr>
              <w:t>注：1、表格内内容如合格打√，不合格打×，全部打√的结论为“合格”，有一项打×的结论为“不合格”；2、如审查内容不能用“√”“×”表述，需评委在审查栏内填写内容。</w:t>
            </w:r>
          </w:p>
        </w:tc>
      </w:tr>
    </w:tbl>
    <w:p>
      <w:pPr>
        <w:pStyle w:val="3"/>
        <w:spacing w:line="360" w:lineRule="auto"/>
        <w:ind w:firstLine="0" w:firstLineChars="0"/>
        <w:rPr>
          <w:rFonts w:ascii="宋体" w:hAnsi="宋体" w:cs="Arial"/>
          <w:color w:val="000000"/>
          <w:kern w:val="0"/>
        </w:rPr>
      </w:pPr>
      <w:r>
        <w:rPr>
          <w:rFonts w:hint="eastAsia" w:ascii="宋体" w:hAnsi="宋体" w:cs="Arial"/>
          <w:color w:val="000000"/>
          <w:kern w:val="0"/>
        </w:rPr>
        <w:t>3.4本项目采用</w:t>
      </w:r>
      <w:r>
        <w:rPr>
          <w:rFonts w:hint="eastAsia" w:ascii="宋体" w:hAnsi="宋体" w:cs="Arial"/>
          <w:color w:val="000000"/>
          <w:kern w:val="0"/>
          <w:lang w:eastAsia="zh-CN"/>
        </w:rPr>
        <w:t>两轮报价，</w:t>
      </w:r>
      <w:r>
        <w:rPr>
          <w:rFonts w:hint="eastAsia" w:ascii="宋体" w:hAnsi="宋体" w:cs="Arial"/>
          <w:color w:val="000000"/>
          <w:kern w:val="0"/>
        </w:rPr>
        <w:t>供应商</w:t>
      </w:r>
      <w:r>
        <w:rPr>
          <w:rFonts w:hint="eastAsia" w:ascii="宋体" w:hAnsi="宋体" w:cs="Arial"/>
          <w:color w:val="000000"/>
          <w:kern w:val="0"/>
          <w:lang w:eastAsia="zh-CN"/>
        </w:rPr>
        <w:t>根据第一轮报价</w:t>
      </w:r>
      <w:r>
        <w:rPr>
          <w:rFonts w:hint="eastAsia" w:ascii="宋体" w:hAnsi="宋体" w:cs="Arial"/>
          <w:color w:val="000000"/>
          <w:kern w:val="0"/>
        </w:rPr>
        <w:t>进行最终密封报价，报价纸质文件上需有供应商法定代表人或授权委托人签字或加盖公章。</w:t>
      </w:r>
    </w:p>
    <w:p>
      <w:pPr>
        <w:pStyle w:val="3"/>
        <w:spacing w:line="360" w:lineRule="auto"/>
        <w:ind w:firstLine="0" w:firstLineChars="0"/>
        <w:rPr>
          <w:rFonts w:ascii="宋体" w:hAnsi="宋体" w:cs="Arial"/>
          <w:color w:val="000000"/>
          <w:kern w:val="0"/>
        </w:rPr>
      </w:pPr>
      <w:r>
        <w:rPr>
          <w:rFonts w:hint="eastAsia" w:ascii="宋体" w:hAnsi="宋体" w:cs="Arial"/>
          <w:color w:val="000000"/>
          <w:kern w:val="0"/>
        </w:rPr>
        <w:t>3.</w:t>
      </w:r>
      <w:r>
        <w:rPr>
          <w:rFonts w:hint="eastAsia" w:ascii="宋体" w:hAnsi="宋体" w:cs="Arial"/>
          <w:color w:val="000000"/>
          <w:kern w:val="0"/>
          <w:lang w:val="en-US" w:eastAsia="zh-CN"/>
        </w:rPr>
        <w:t>4</w:t>
      </w:r>
      <w:r>
        <w:rPr>
          <w:rFonts w:hint="eastAsia" w:ascii="宋体" w:hAnsi="宋体" w:cs="Arial"/>
          <w:color w:val="000000"/>
          <w:kern w:val="0"/>
          <w:lang w:eastAsia="zh-CN"/>
        </w:rPr>
        <w:t>采购</w:t>
      </w:r>
      <w:r>
        <w:rPr>
          <w:rFonts w:ascii="宋体" w:hAnsi="宋体" w:cs="Arial"/>
          <w:color w:val="000000"/>
          <w:kern w:val="0"/>
        </w:rPr>
        <w:t>小组</w:t>
      </w:r>
      <w:r>
        <w:rPr>
          <w:rFonts w:hint="eastAsia" w:ascii="宋体" w:hAnsi="宋体" w:cs="Arial"/>
          <w:color w:val="000000"/>
          <w:kern w:val="0"/>
          <w:lang w:eastAsia="zh-CN"/>
        </w:rPr>
        <w:t>根据两轮报价、供应商资质及业绩等写出</w:t>
      </w:r>
      <w:r>
        <w:rPr>
          <w:rFonts w:hint="eastAsia" w:ascii="宋体" w:hAnsi="宋体" w:cs="Arial"/>
          <w:color w:val="000000"/>
          <w:kern w:val="0"/>
        </w:rPr>
        <w:t>汇报材料</w:t>
      </w:r>
      <w:r>
        <w:rPr>
          <w:rFonts w:ascii="宋体" w:hAnsi="宋体" w:cs="Arial"/>
          <w:color w:val="000000"/>
          <w:kern w:val="0"/>
        </w:rPr>
        <w:t>，并将</w:t>
      </w:r>
      <w:r>
        <w:rPr>
          <w:rFonts w:hint="eastAsia" w:ascii="宋体" w:hAnsi="宋体" w:cs="Arial"/>
          <w:color w:val="000000"/>
          <w:kern w:val="0"/>
        </w:rPr>
        <w:t>采购汇报材料</w:t>
      </w:r>
      <w:r>
        <w:rPr>
          <w:rFonts w:ascii="宋体" w:hAnsi="宋体" w:cs="Arial"/>
          <w:color w:val="000000"/>
          <w:kern w:val="0"/>
        </w:rPr>
        <w:t>报</w:t>
      </w:r>
      <w:r>
        <w:rPr>
          <w:rFonts w:hint="eastAsia" w:ascii="宋体" w:hAnsi="宋体" w:cs="Arial"/>
          <w:color w:val="000000"/>
          <w:kern w:val="0"/>
        </w:rPr>
        <w:t>采购人</w:t>
      </w:r>
      <w:r>
        <w:rPr>
          <w:rFonts w:ascii="宋体" w:hAnsi="宋体" w:cs="Arial"/>
          <w:color w:val="000000"/>
          <w:kern w:val="0"/>
        </w:rPr>
        <w:t>审核确认，并最终确定</w:t>
      </w:r>
      <w:r>
        <w:rPr>
          <w:rFonts w:hint="eastAsia" w:ascii="宋体" w:hAnsi="宋体" w:cs="Arial"/>
          <w:color w:val="000000"/>
          <w:kern w:val="0"/>
        </w:rPr>
        <w:t>成交供应商</w:t>
      </w:r>
      <w:r>
        <w:rPr>
          <w:rFonts w:ascii="宋体" w:hAnsi="宋体" w:cs="Arial"/>
          <w:color w:val="000000"/>
          <w:kern w:val="0"/>
        </w:rPr>
        <w:t>。</w:t>
      </w:r>
    </w:p>
    <w:p>
      <w:pPr>
        <w:pStyle w:val="3"/>
        <w:spacing w:line="360" w:lineRule="auto"/>
        <w:ind w:firstLine="0" w:firstLineChars="0"/>
        <w:rPr>
          <w:rFonts w:ascii="宋体" w:hAnsi="宋体" w:cs="Arial"/>
          <w:b/>
          <w:color w:val="000000"/>
          <w:kern w:val="0"/>
        </w:rPr>
      </w:pPr>
      <w:r>
        <w:rPr>
          <w:rFonts w:hint="eastAsia" w:ascii="宋体" w:hAnsi="宋体" w:cs="Arial"/>
          <w:b/>
          <w:color w:val="000000"/>
          <w:kern w:val="0"/>
        </w:rPr>
        <w:t>4、采购评审标准和细则</w:t>
      </w:r>
    </w:p>
    <w:p>
      <w:pPr>
        <w:spacing w:line="360" w:lineRule="auto"/>
        <w:rPr>
          <w:rFonts w:ascii="宋体" w:hAnsi="宋体"/>
          <w:sz w:val="24"/>
          <w:szCs w:val="24"/>
        </w:rPr>
      </w:pPr>
      <w:r>
        <w:rPr>
          <w:rFonts w:hint="eastAsia" w:ascii="宋体" w:hAnsi="宋体"/>
          <w:sz w:val="24"/>
          <w:szCs w:val="24"/>
        </w:rPr>
        <w:t>4.1、采购评审方式</w:t>
      </w:r>
    </w:p>
    <w:p>
      <w:pPr>
        <w:pStyle w:val="3"/>
        <w:spacing w:line="360" w:lineRule="auto"/>
        <w:rPr>
          <w:rFonts w:ascii="宋体" w:hAnsi="宋体"/>
        </w:rPr>
      </w:pPr>
      <w:r>
        <w:rPr>
          <w:rFonts w:hint="eastAsia" w:ascii="宋体" w:hAnsi="宋体"/>
        </w:rPr>
        <w:t>通过资格审查的供应商，且未对采购文件中提出的实质性要求和条件有负偏离并报价合理的供应商进入二轮</w:t>
      </w:r>
      <w:r>
        <w:rPr>
          <w:rFonts w:hint="eastAsia" w:ascii="宋体" w:hAnsi="宋体"/>
          <w:lang w:eastAsia="zh-CN"/>
        </w:rPr>
        <w:t>报价</w:t>
      </w:r>
      <w:r>
        <w:rPr>
          <w:rFonts w:hint="eastAsia" w:ascii="宋体" w:hAnsi="宋体"/>
        </w:rPr>
        <w:t>（首次提交响应文件中的报价为第一轮），按第二轮报价由低到高推荐成交供应商排名（如第二轮报价相同，首次报价低者优先）。谈判小组据此形成评审报告并经采购人</w:t>
      </w:r>
      <w:r>
        <w:rPr>
          <w:rFonts w:ascii="宋体" w:hAnsi="宋体"/>
        </w:rPr>
        <w:t>审核确认</w:t>
      </w:r>
      <w:r>
        <w:rPr>
          <w:rFonts w:hint="eastAsia" w:ascii="宋体" w:hAnsi="宋体"/>
        </w:rPr>
        <w:t>后</w:t>
      </w:r>
      <w:r>
        <w:rPr>
          <w:rFonts w:ascii="宋体" w:hAnsi="宋体"/>
        </w:rPr>
        <w:t>，最终确定</w:t>
      </w:r>
      <w:r>
        <w:rPr>
          <w:rFonts w:hint="eastAsia" w:ascii="宋体" w:hAnsi="宋体"/>
        </w:rPr>
        <w:t>成交供应商</w:t>
      </w:r>
      <w:r>
        <w:rPr>
          <w:rFonts w:ascii="宋体" w:hAnsi="宋体"/>
        </w:rPr>
        <w:t>。</w:t>
      </w:r>
    </w:p>
    <w:p>
      <w:pPr>
        <w:spacing w:line="360" w:lineRule="auto"/>
        <w:rPr>
          <w:rFonts w:ascii="宋体" w:hAnsi="宋体"/>
          <w:b/>
          <w:sz w:val="24"/>
          <w:szCs w:val="24"/>
        </w:rPr>
      </w:pPr>
      <w:r>
        <w:rPr>
          <w:rFonts w:hint="eastAsia" w:ascii="宋体" w:hAnsi="宋体"/>
          <w:b/>
          <w:sz w:val="24"/>
          <w:szCs w:val="24"/>
        </w:rPr>
        <w:t>5、授予合同</w:t>
      </w:r>
    </w:p>
    <w:p>
      <w:pPr>
        <w:spacing w:line="360" w:lineRule="auto"/>
        <w:rPr>
          <w:rFonts w:ascii="宋体" w:hAnsi="宋体"/>
          <w:sz w:val="24"/>
          <w:szCs w:val="24"/>
        </w:rPr>
      </w:pPr>
      <w:r>
        <w:rPr>
          <w:rFonts w:hint="eastAsia" w:ascii="宋体" w:hAnsi="宋体"/>
          <w:sz w:val="24"/>
          <w:szCs w:val="24"/>
        </w:rPr>
        <w:t>5.1合同授予标准</w:t>
      </w:r>
    </w:p>
    <w:p>
      <w:pPr>
        <w:spacing w:line="360" w:lineRule="auto"/>
        <w:rPr>
          <w:rFonts w:ascii="宋体" w:hAnsi="宋体"/>
          <w:sz w:val="24"/>
          <w:szCs w:val="24"/>
        </w:rPr>
      </w:pPr>
      <w:r>
        <w:rPr>
          <w:rFonts w:hint="eastAsia" w:ascii="宋体" w:hAnsi="宋体"/>
          <w:sz w:val="24"/>
          <w:szCs w:val="24"/>
        </w:rPr>
        <w:t xml:space="preserve">5.1.1 </w:t>
      </w:r>
      <w:r>
        <w:rPr>
          <w:rFonts w:hint="eastAsia" w:ascii="宋体" w:hAnsi="宋体"/>
          <w:sz w:val="24"/>
          <w:szCs w:val="24"/>
          <w:lang w:eastAsia="zh-CN"/>
        </w:rPr>
        <w:t>采购</w:t>
      </w:r>
      <w:r>
        <w:rPr>
          <w:rFonts w:hint="eastAsia" w:ascii="宋体" w:hAnsi="宋体"/>
          <w:sz w:val="24"/>
          <w:szCs w:val="24"/>
        </w:rPr>
        <w:t>小组对实质上响应采购文件要求的供应商进行综合评审，推荐出成交候选人。合同授予能够最大限度地满足采购要求规定的供应商。</w:t>
      </w:r>
    </w:p>
    <w:p>
      <w:pPr>
        <w:spacing w:line="360" w:lineRule="auto"/>
        <w:rPr>
          <w:rFonts w:ascii="宋体" w:hAnsi="宋体"/>
          <w:sz w:val="24"/>
          <w:szCs w:val="24"/>
        </w:rPr>
      </w:pPr>
      <w:r>
        <w:rPr>
          <w:rFonts w:hint="eastAsia" w:ascii="宋体" w:hAnsi="宋体"/>
          <w:sz w:val="24"/>
          <w:szCs w:val="24"/>
        </w:rPr>
        <w:t>5.1.2 采购人根据</w:t>
      </w:r>
      <w:r>
        <w:rPr>
          <w:rFonts w:hint="eastAsia" w:ascii="宋体" w:hAnsi="宋体"/>
          <w:sz w:val="24"/>
          <w:szCs w:val="24"/>
          <w:lang w:eastAsia="zh-CN"/>
        </w:rPr>
        <w:t>采购</w:t>
      </w:r>
      <w:r>
        <w:rPr>
          <w:rFonts w:hint="eastAsia" w:ascii="宋体" w:hAnsi="宋体"/>
          <w:sz w:val="24"/>
          <w:szCs w:val="24"/>
        </w:rPr>
        <w:t>小组推荐的成交候选人名单确定成交供应商。</w:t>
      </w:r>
    </w:p>
    <w:p>
      <w:pPr>
        <w:spacing w:line="360" w:lineRule="auto"/>
        <w:rPr>
          <w:rFonts w:ascii="宋体" w:hAnsi="宋体"/>
          <w:sz w:val="24"/>
          <w:szCs w:val="24"/>
        </w:rPr>
      </w:pPr>
      <w:r>
        <w:rPr>
          <w:rFonts w:hint="eastAsia" w:ascii="宋体" w:hAnsi="宋体"/>
          <w:sz w:val="24"/>
          <w:szCs w:val="24"/>
        </w:rPr>
        <w:t>5.1.3成交生效后，如果已确定的供应商不能按响应文件中承诺的条件履行签约行为，采购人有权在</w:t>
      </w:r>
      <w:r>
        <w:rPr>
          <w:rFonts w:hint="eastAsia" w:ascii="宋体" w:hAnsi="宋体"/>
          <w:sz w:val="24"/>
          <w:szCs w:val="24"/>
          <w:lang w:eastAsia="zh-CN"/>
        </w:rPr>
        <w:t>采购</w:t>
      </w:r>
      <w:r>
        <w:rPr>
          <w:rFonts w:hint="eastAsia" w:ascii="宋体" w:hAnsi="宋体"/>
          <w:sz w:val="24"/>
          <w:szCs w:val="24"/>
        </w:rPr>
        <w:t>小组推荐的合格的候选人名单中选择新的合同授予人。</w:t>
      </w:r>
    </w:p>
    <w:p>
      <w:pPr>
        <w:spacing w:line="360" w:lineRule="auto"/>
        <w:rPr>
          <w:rFonts w:ascii="宋体" w:hAnsi="宋体"/>
          <w:sz w:val="24"/>
          <w:szCs w:val="24"/>
        </w:rPr>
      </w:pPr>
      <w:r>
        <w:rPr>
          <w:rFonts w:hint="eastAsia" w:ascii="宋体" w:hAnsi="宋体"/>
          <w:sz w:val="24"/>
          <w:szCs w:val="24"/>
        </w:rPr>
        <w:t>5.2成交</w:t>
      </w:r>
    </w:p>
    <w:p>
      <w:pPr>
        <w:spacing w:line="360" w:lineRule="auto"/>
        <w:rPr>
          <w:rFonts w:ascii="宋体" w:hAnsi="宋体"/>
          <w:sz w:val="24"/>
          <w:szCs w:val="24"/>
        </w:rPr>
      </w:pPr>
      <w:r>
        <w:rPr>
          <w:rFonts w:hint="eastAsia" w:ascii="宋体" w:hAnsi="宋体"/>
          <w:sz w:val="24"/>
          <w:szCs w:val="24"/>
        </w:rPr>
        <w:t>5.2.1采购人在确定成交供应商后，将及时进行合同签署。</w:t>
      </w:r>
    </w:p>
    <w:p>
      <w:pPr>
        <w:spacing w:line="360" w:lineRule="auto"/>
        <w:rPr>
          <w:rFonts w:ascii="宋体" w:hAnsi="宋体"/>
          <w:sz w:val="24"/>
          <w:szCs w:val="24"/>
        </w:rPr>
      </w:pPr>
      <w:r>
        <w:rPr>
          <w:rFonts w:hint="eastAsia" w:ascii="宋体" w:hAnsi="宋体"/>
          <w:sz w:val="24"/>
          <w:szCs w:val="24"/>
        </w:rPr>
        <w:t>5.2.2对未成交者，采购方不对未成交原因作出解释，同时亦不退还响应文件。</w:t>
      </w:r>
    </w:p>
    <w:p>
      <w:pPr>
        <w:spacing w:line="360" w:lineRule="auto"/>
        <w:rPr>
          <w:rFonts w:ascii="宋体" w:hAnsi="宋体"/>
          <w:sz w:val="24"/>
          <w:szCs w:val="24"/>
        </w:rPr>
      </w:pPr>
      <w:r>
        <w:rPr>
          <w:rFonts w:hint="eastAsia" w:ascii="宋体" w:hAnsi="宋体"/>
          <w:sz w:val="24"/>
          <w:szCs w:val="24"/>
        </w:rPr>
        <w:t>5.3签订合同</w:t>
      </w:r>
    </w:p>
    <w:p>
      <w:pPr>
        <w:spacing w:line="360" w:lineRule="auto"/>
        <w:ind w:firstLine="480" w:firstLineChars="200"/>
        <w:jc w:val="left"/>
        <w:rPr>
          <w:rFonts w:ascii="宋体" w:hAnsi="宋体"/>
          <w:sz w:val="24"/>
          <w:szCs w:val="24"/>
        </w:rPr>
      </w:pPr>
      <w:r>
        <w:rPr>
          <w:rFonts w:hint="eastAsia" w:ascii="宋体" w:hAnsi="宋体"/>
          <w:sz w:val="24"/>
          <w:szCs w:val="24"/>
        </w:rPr>
        <w:t>成交供应商应及时与采购人签订合同。采购文件、成交供应商的响应文件及澄清文件等，均为签订合同的依据。</w:t>
      </w:r>
    </w:p>
    <w:p>
      <w:pPr>
        <w:spacing w:line="360" w:lineRule="auto"/>
        <w:ind w:firstLine="480" w:firstLineChars="200"/>
        <w:jc w:val="left"/>
        <w:rPr>
          <w:rFonts w:ascii="宋体" w:hAnsi="宋体"/>
          <w:sz w:val="24"/>
          <w:szCs w:val="24"/>
        </w:rPr>
      </w:pPr>
    </w:p>
    <w:p>
      <w:pPr>
        <w:spacing w:line="360" w:lineRule="auto"/>
        <w:ind w:firstLine="480" w:firstLineChars="200"/>
        <w:jc w:val="left"/>
        <w:rPr>
          <w:rFonts w:ascii="宋体" w:hAnsi="宋体"/>
          <w:sz w:val="24"/>
          <w:szCs w:val="24"/>
        </w:rPr>
      </w:pPr>
    </w:p>
    <w:p>
      <w:pPr>
        <w:spacing w:line="360" w:lineRule="auto"/>
        <w:ind w:firstLine="480" w:firstLineChars="200"/>
        <w:jc w:val="left"/>
        <w:rPr>
          <w:rFonts w:ascii="宋体" w:hAnsi="宋体"/>
          <w:sz w:val="24"/>
          <w:szCs w:val="24"/>
        </w:rPr>
      </w:pPr>
    </w:p>
    <w:p>
      <w:pPr>
        <w:spacing w:line="360" w:lineRule="auto"/>
        <w:ind w:firstLine="480" w:firstLineChars="200"/>
        <w:jc w:val="left"/>
        <w:rPr>
          <w:rFonts w:ascii="宋体" w:hAnsi="宋体"/>
          <w:sz w:val="24"/>
          <w:szCs w:val="24"/>
        </w:rPr>
      </w:pPr>
    </w:p>
    <w:p>
      <w:pPr>
        <w:spacing w:line="360" w:lineRule="auto"/>
        <w:ind w:firstLine="480" w:firstLineChars="200"/>
        <w:jc w:val="left"/>
        <w:rPr>
          <w:rFonts w:ascii="宋体" w:hAnsi="宋体"/>
          <w:sz w:val="24"/>
          <w:szCs w:val="24"/>
        </w:rPr>
      </w:pPr>
    </w:p>
    <w:p>
      <w:pPr>
        <w:spacing w:line="360" w:lineRule="auto"/>
        <w:ind w:firstLine="480" w:firstLineChars="200"/>
        <w:jc w:val="left"/>
        <w:rPr>
          <w:rFonts w:ascii="宋体" w:hAnsi="宋体"/>
          <w:sz w:val="24"/>
          <w:szCs w:val="24"/>
        </w:rPr>
      </w:pPr>
    </w:p>
    <w:p>
      <w:pPr>
        <w:widowControl/>
        <w:jc w:val="center"/>
        <w:rPr>
          <w:rFonts w:ascii="宋体" w:hAnsi="宋体"/>
          <w:b/>
          <w:sz w:val="44"/>
          <w:szCs w:val="44"/>
        </w:rPr>
      </w:pPr>
      <w:r>
        <w:rPr>
          <w:rFonts w:ascii="宋体" w:hAnsi="宋体"/>
          <w:b/>
          <w:sz w:val="44"/>
          <w:szCs w:val="44"/>
        </w:rPr>
        <w:br w:type="page"/>
      </w:r>
      <w:r>
        <w:rPr>
          <w:rFonts w:hint="eastAsia" w:ascii="宋体" w:hAnsi="宋体"/>
          <w:b/>
          <w:sz w:val="44"/>
          <w:szCs w:val="44"/>
        </w:rPr>
        <w:t xml:space="preserve">第四章  </w:t>
      </w:r>
      <w:r>
        <w:rPr>
          <w:rFonts w:hint="eastAsia"/>
          <w:b/>
          <w:sz w:val="44"/>
        </w:rPr>
        <w:t>合同条款</w:t>
      </w:r>
    </w:p>
    <w:bookmarkEnd w:id="0"/>
    <w:bookmarkEnd w:id="1"/>
    <w:p>
      <w:pPr>
        <w:rPr>
          <w:rFonts w:hint="eastAsia" w:ascii="宋体" w:hAnsi="宋体" w:eastAsia="宋体" w:cs="宋体"/>
          <w:b/>
          <w:sz w:val="24"/>
          <w:szCs w:val="24"/>
          <w:lang w:val="en-US" w:eastAsia="zh-CN"/>
        </w:rPr>
      </w:pPr>
      <w:r>
        <w:rPr>
          <w:rFonts w:hint="eastAsia" w:ascii="宋体" w:hAnsi="宋体" w:eastAsia="宋体" w:cs="宋体"/>
          <w:b/>
          <w:sz w:val="24"/>
          <w:szCs w:val="24"/>
        </w:rPr>
        <w:t>合同编号：</w:t>
      </w:r>
      <w:r>
        <w:rPr>
          <w:rFonts w:hint="eastAsia" w:ascii="宋体" w:hAnsi="宋体" w:cs="宋体"/>
          <w:b/>
          <w:sz w:val="24"/>
          <w:szCs w:val="24"/>
          <w:lang w:val="en-US" w:eastAsia="zh-CN"/>
        </w:rPr>
        <w:t>HY</w:t>
      </w:r>
      <w:r>
        <w:rPr>
          <w:rFonts w:hint="eastAsia" w:ascii="宋体" w:hAnsi="宋体" w:eastAsia="宋体" w:cs="宋体"/>
          <w:b/>
          <w:sz w:val="24"/>
          <w:szCs w:val="24"/>
        </w:rPr>
        <w:t>-</w:t>
      </w:r>
      <w:r>
        <w:rPr>
          <w:rFonts w:hint="eastAsia" w:ascii="宋体" w:hAnsi="宋体" w:eastAsia="宋体" w:cs="宋体"/>
          <w:b/>
          <w:sz w:val="24"/>
          <w:szCs w:val="24"/>
          <w:lang w:val="en-US" w:eastAsia="zh-CN"/>
        </w:rPr>
        <w:t>AHB</w:t>
      </w:r>
      <w:r>
        <w:rPr>
          <w:rFonts w:hint="eastAsia" w:ascii="宋体" w:hAnsi="宋体" w:eastAsia="宋体" w:cs="宋体"/>
          <w:b/>
          <w:sz w:val="24"/>
          <w:szCs w:val="24"/>
        </w:rPr>
        <w:t>-JS-202</w:t>
      </w:r>
      <w:r>
        <w:rPr>
          <w:rFonts w:hint="eastAsia" w:ascii="宋体" w:hAnsi="宋体" w:eastAsia="宋体" w:cs="宋体"/>
          <w:b/>
          <w:sz w:val="24"/>
          <w:szCs w:val="24"/>
          <w:lang w:val="en-US" w:eastAsia="zh-CN"/>
        </w:rPr>
        <w:t>2</w:t>
      </w:r>
      <w:r>
        <w:rPr>
          <w:rFonts w:hint="eastAsia" w:ascii="宋体" w:hAnsi="宋体" w:eastAsia="宋体" w:cs="宋体"/>
          <w:b/>
          <w:sz w:val="24"/>
          <w:szCs w:val="24"/>
        </w:rPr>
        <w:t>-0</w:t>
      </w:r>
      <w:r>
        <w:rPr>
          <w:rFonts w:hint="eastAsia" w:ascii="宋体" w:hAnsi="宋体" w:eastAsia="宋体" w:cs="宋体"/>
          <w:b/>
          <w:sz w:val="24"/>
          <w:szCs w:val="24"/>
          <w:lang w:val="en-US" w:eastAsia="zh-CN"/>
        </w:rPr>
        <w:t>3</w:t>
      </w:r>
      <w:r>
        <w:rPr>
          <w:rFonts w:hint="eastAsia" w:ascii="宋体" w:hAnsi="宋体" w:eastAsia="宋体" w:cs="宋体"/>
          <w:b/>
          <w:sz w:val="24"/>
          <w:szCs w:val="24"/>
        </w:rPr>
        <w:t>-0</w:t>
      </w:r>
      <w:r>
        <w:rPr>
          <w:rFonts w:hint="eastAsia" w:ascii="宋体" w:hAnsi="宋体" w:eastAsia="宋体" w:cs="宋体"/>
          <w:b/>
          <w:sz w:val="24"/>
          <w:szCs w:val="24"/>
          <w:lang w:val="en-US" w:eastAsia="zh-CN"/>
        </w:rPr>
        <w:t>1</w:t>
      </w:r>
    </w:p>
    <w:p>
      <w:pPr>
        <w:rPr>
          <w:rFonts w:hint="eastAsia" w:ascii="宋体" w:hAnsi="宋体" w:eastAsia="宋体" w:cs="宋体"/>
          <w:b/>
          <w:sz w:val="24"/>
          <w:szCs w:val="24"/>
          <w:u w:val="single"/>
        </w:rPr>
      </w:pPr>
    </w:p>
    <w:p>
      <w:pPr>
        <w:rPr>
          <w:rFonts w:hint="eastAsia" w:ascii="宋体" w:hAnsi="宋体" w:eastAsia="宋体" w:cs="宋体"/>
          <w:b/>
          <w:sz w:val="24"/>
          <w:szCs w:val="24"/>
        </w:rPr>
      </w:pPr>
    </w:p>
    <w:p>
      <w:pPr>
        <w:spacing w:line="720" w:lineRule="auto"/>
        <w:rPr>
          <w:rFonts w:hint="eastAsia" w:ascii="宋体" w:hAnsi="宋体" w:eastAsia="宋体" w:cs="宋体"/>
          <w:sz w:val="24"/>
          <w:szCs w:val="24"/>
          <w:u w:val="single"/>
          <w:lang w:val="en-US" w:eastAsia="zh-CN"/>
        </w:rPr>
      </w:pPr>
      <w:r>
        <w:rPr>
          <w:rFonts w:hint="eastAsia" w:ascii="宋体" w:hAnsi="宋体" w:eastAsia="宋体" w:cs="宋体"/>
          <w:sz w:val="24"/>
          <w:szCs w:val="24"/>
        </w:rPr>
        <w:t>项目名称：</w:t>
      </w:r>
      <w:r>
        <w:rPr>
          <w:rFonts w:hint="eastAsia" w:ascii="宋体" w:hAnsi="宋体" w:cs="宋体"/>
          <w:sz w:val="24"/>
          <w:szCs w:val="24"/>
          <w:u w:val="single"/>
          <w:lang w:eastAsia="zh-CN"/>
        </w:rPr>
        <w:t>内蒙古华云新材料有限公司</w:t>
      </w:r>
      <w:r>
        <w:rPr>
          <w:rFonts w:hint="eastAsia" w:ascii="宋体" w:hAnsi="宋体" w:eastAsia="宋体" w:cs="宋体"/>
          <w:sz w:val="24"/>
          <w:szCs w:val="24"/>
          <w:u w:val="single"/>
        </w:rPr>
        <w:t>作业场所职业病危害</w:t>
      </w:r>
      <w:r>
        <w:rPr>
          <w:rFonts w:hint="eastAsia" w:ascii="宋体" w:hAnsi="宋体" w:eastAsia="宋体" w:cs="宋体"/>
          <w:sz w:val="24"/>
          <w:szCs w:val="24"/>
          <w:u w:val="single"/>
          <w:lang w:val="en-US" w:eastAsia="zh-CN"/>
        </w:rPr>
        <w:t>年度</w:t>
      </w:r>
    </w:p>
    <w:p>
      <w:pPr>
        <w:spacing w:line="720" w:lineRule="auto"/>
        <w:ind w:firstLine="1200" w:firstLineChars="500"/>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 xml:space="preserve">及日常检测    </w:t>
      </w:r>
    </w:p>
    <w:p>
      <w:pPr>
        <w:spacing w:line="720" w:lineRule="auto"/>
        <w:rPr>
          <w:rFonts w:hint="eastAsia" w:ascii="宋体" w:hAnsi="宋体" w:eastAsia="宋体" w:cs="宋体"/>
          <w:sz w:val="24"/>
          <w:szCs w:val="24"/>
          <w:u w:val="words"/>
          <w:lang w:val="en-US" w:eastAsia="zh-CN"/>
        </w:rPr>
      </w:pPr>
      <w:r>
        <w:rPr>
          <w:rFonts w:hint="eastAsia" w:ascii="宋体" w:hAnsi="宋体" w:eastAsia="宋体" w:cs="宋体"/>
          <w:sz w:val="24"/>
          <w:szCs w:val="24"/>
          <w:u w:val="none"/>
        </w:rPr>
        <w:t>甲</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方</w:t>
      </w:r>
      <w:r>
        <w:rPr>
          <w:rFonts w:hint="eastAsia" w:ascii="宋体" w:hAnsi="宋体" w:eastAsia="宋体" w:cs="宋体"/>
          <w:sz w:val="24"/>
          <w:szCs w:val="24"/>
          <w:u w:val="none"/>
          <w:lang w:eastAsia="zh-CN"/>
        </w:rPr>
        <w:t>：</w:t>
      </w:r>
      <w:r>
        <w:rPr>
          <w:rFonts w:hint="eastAsia" w:ascii="宋体" w:hAnsi="宋体" w:cs="宋体"/>
          <w:sz w:val="24"/>
          <w:szCs w:val="24"/>
          <w:u w:val="single"/>
          <w:lang w:eastAsia="zh-CN"/>
        </w:rPr>
        <w:t>内蒙古华云新材料有限公司</w:t>
      </w:r>
    </w:p>
    <w:p>
      <w:pPr>
        <w:rPr>
          <w:rFonts w:hint="eastAsia" w:ascii="宋体" w:hAnsi="宋体" w:eastAsia="宋体" w:cs="宋体"/>
          <w:sz w:val="24"/>
          <w:szCs w:val="24"/>
          <w:u w:val="single"/>
          <w:lang w:val="en-US" w:eastAsia="zh-CN"/>
        </w:rPr>
      </w:pPr>
      <w:r>
        <w:rPr>
          <w:rFonts w:hint="eastAsia" w:ascii="宋体" w:hAnsi="宋体" w:eastAsia="宋体" w:cs="宋体"/>
          <w:sz w:val="24"/>
          <w:szCs w:val="24"/>
        </w:rPr>
        <w:t>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方</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p>
    <w:p>
      <w:pPr>
        <w:spacing w:line="720" w:lineRule="auto"/>
        <w:rPr>
          <w:rFonts w:hint="eastAsia" w:ascii="宋体" w:hAnsi="宋体" w:eastAsia="宋体" w:cs="宋体"/>
          <w:sz w:val="24"/>
          <w:szCs w:val="24"/>
          <w:u w:val="single"/>
        </w:rPr>
      </w:pPr>
      <w:r>
        <w:rPr>
          <w:rFonts w:hint="eastAsia" w:ascii="宋体" w:hAnsi="宋体" w:eastAsia="宋体" w:cs="宋体"/>
          <w:sz w:val="24"/>
          <w:szCs w:val="24"/>
        </w:rPr>
        <w:t>签订地点：</w:t>
      </w:r>
      <w:r>
        <w:rPr>
          <w:rFonts w:hint="eastAsia" w:ascii="宋体" w:hAnsi="宋体" w:eastAsia="宋体" w:cs="宋体"/>
          <w:sz w:val="24"/>
          <w:szCs w:val="24"/>
          <w:u w:val="single"/>
        </w:rPr>
        <w:t xml:space="preserve">内蒙古包头市 </w:t>
      </w:r>
    </w:p>
    <w:p>
      <w:pPr>
        <w:spacing w:line="720" w:lineRule="auto"/>
        <w:rPr>
          <w:rFonts w:hint="eastAsia" w:ascii="宋体" w:hAnsi="宋体" w:eastAsia="宋体" w:cs="宋体"/>
          <w:sz w:val="24"/>
          <w:szCs w:val="24"/>
          <w:u w:val="single"/>
        </w:rPr>
      </w:pPr>
      <w:r>
        <w:rPr>
          <w:rFonts w:hint="eastAsia" w:ascii="宋体" w:hAnsi="宋体" w:eastAsia="宋体" w:cs="宋体"/>
          <w:sz w:val="24"/>
          <w:szCs w:val="24"/>
        </w:rPr>
        <w:t>有效期限：</w:t>
      </w:r>
      <w:r>
        <w:rPr>
          <w:rFonts w:hint="eastAsia" w:ascii="宋体" w:hAnsi="宋体" w:eastAsia="宋体" w:cs="宋体"/>
          <w:sz w:val="24"/>
          <w:szCs w:val="24"/>
          <w:u w:val="single"/>
        </w:rPr>
        <w:t>自合同签订之日起截止到202</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12</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31</w:t>
      </w:r>
      <w:r>
        <w:rPr>
          <w:rFonts w:hint="eastAsia" w:ascii="宋体" w:hAnsi="宋体" w:eastAsia="宋体" w:cs="宋体"/>
          <w:sz w:val="24"/>
          <w:szCs w:val="24"/>
          <w:u w:val="single"/>
        </w:rPr>
        <w:t>日</w:t>
      </w:r>
    </w:p>
    <w:p>
      <w:pPr>
        <w:spacing w:line="720" w:lineRule="auto"/>
        <w:rPr>
          <w:rFonts w:hint="eastAsia" w:ascii="宋体" w:hAnsi="宋体" w:eastAsia="宋体" w:cs="宋体"/>
          <w:sz w:val="24"/>
          <w:szCs w:val="24"/>
        </w:rPr>
      </w:pPr>
    </w:p>
    <w:p>
      <w:pPr>
        <w:spacing w:line="720" w:lineRule="auto"/>
        <w:rPr>
          <w:rFonts w:hint="eastAsia" w:ascii="宋体" w:hAnsi="宋体" w:eastAsia="宋体" w:cs="宋体"/>
          <w:sz w:val="24"/>
          <w:szCs w:val="24"/>
        </w:rPr>
      </w:pPr>
    </w:p>
    <w:p>
      <w:pPr>
        <w:spacing w:line="720" w:lineRule="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br w:type="page"/>
      </w:r>
      <w:r>
        <w:rPr>
          <w:rFonts w:hint="eastAsia" w:ascii="宋体" w:hAnsi="宋体" w:eastAsia="宋体" w:cs="宋体"/>
          <w:sz w:val="24"/>
          <w:szCs w:val="24"/>
        </w:rPr>
        <w:t>委托方（甲方）：</w:t>
      </w:r>
      <w:r>
        <w:rPr>
          <w:rFonts w:hint="eastAsia" w:ascii="宋体" w:hAnsi="宋体" w:cs="宋体"/>
          <w:sz w:val="24"/>
          <w:szCs w:val="24"/>
          <w:u w:val="single"/>
          <w:lang w:eastAsia="zh-CN"/>
        </w:rPr>
        <w:t>内蒙古华云新材料有限公司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住  所  地：</w:t>
      </w:r>
      <w:r>
        <w:rPr>
          <w:rFonts w:hint="eastAsia" w:ascii="宋体" w:hAnsi="宋体" w:eastAsia="宋体" w:cs="宋体"/>
          <w:sz w:val="24"/>
          <w:szCs w:val="24"/>
          <w:u w:val="single"/>
        </w:rPr>
        <w:t xml:space="preserve">包头市东河区东兴街道办事处铝业大道2号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田明生</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u w:val="single"/>
        </w:rPr>
        <w:t xml:space="preserve">  0472-6935</w:t>
      </w:r>
      <w:r>
        <w:rPr>
          <w:rFonts w:hint="eastAsia" w:ascii="宋体" w:hAnsi="宋体" w:eastAsia="宋体" w:cs="宋体"/>
          <w:sz w:val="24"/>
          <w:szCs w:val="24"/>
          <w:u w:val="single"/>
          <w:lang w:val="en-US" w:eastAsia="zh-CN"/>
        </w:rPr>
        <w:t>670</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包头市东河区毛其来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0472-69356</w:t>
      </w:r>
      <w:r>
        <w:rPr>
          <w:rFonts w:hint="eastAsia" w:ascii="宋体" w:hAnsi="宋体" w:eastAsia="宋体" w:cs="宋体"/>
          <w:sz w:val="24"/>
          <w:szCs w:val="24"/>
          <w:u w:val="single"/>
          <w:lang w:val="en-US" w:eastAsia="zh-CN"/>
        </w:rPr>
        <w:t>70</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0472-6935168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委托方（乙方）：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联系方式：</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通讯地址：</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sz w:val="24"/>
          <w:szCs w:val="24"/>
          <w:highlight w:val="none"/>
          <w:u w:val="single"/>
        </w:rPr>
      </w:pPr>
      <w:r>
        <w:rPr>
          <w:rFonts w:hint="eastAsia" w:ascii="宋体" w:hAnsi="宋体" w:eastAsia="宋体" w:cs="宋体"/>
          <w:sz w:val="24"/>
          <w:szCs w:val="24"/>
        </w:rPr>
        <w:t>本合同甲方委托乙方</w:t>
      </w:r>
      <w:r>
        <w:rPr>
          <w:rFonts w:hint="eastAsia" w:ascii="宋体" w:hAnsi="宋体" w:eastAsia="宋体" w:cs="宋体"/>
          <w:sz w:val="24"/>
          <w:szCs w:val="24"/>
          <w:u w:val="none"/>
        </w:rPr>
        <w:t>就</w:t>
      </w:r>
      <w:r>
        <w:rPr>
          <w:rFonts w:hint="eastAsia" w:ascii="宋体" w:hAnsi="宋体" w:cs="宋体"/>
          <w:sz w:val="24"/>
          <w:szCs w:val="24"/>
          <w:u w:val="single"/>
          <w:lang w:eastAsia="zh-CN"/>
        </w:rPr>
        <w:t>内蒙古华云新材料有限公司</w:t>
      </w:r>
      <w:r>
        <w:rPr>
          <w:rFonts w:hint="eastAsia" w:ascii="宋体" w:hAnsi="宋体" w:eastAsia="宋体" w:cs="宋体"/>
          <w:sz w:val="24"/>
          <w:szCs w:val="24"/>
          <w:u w:val="single"/>
        </w:rPr>
        <w:t>作业场所职业病危害</w:t>
      </w:r>
      <w:r>
        <w:rPr>
          <w:rFonts w:hint="eastAsia" w:ascii="宋体" w:hAnsi="宋体" w:eastAsia="宋体" w:cs="宋体"/>
          <w:sz w:val="24"/>
          <w:szCs w:val="24"/>
          <w:u w:val="single"/>
          <w:lang w:val="en-US" w:eastAsia="zh-CN"/>
        </w:rPr>
        <w:t>年度及日常检测</w:t>
      </w:r>
      <w:r>
        <w:rPr>
          <w:rFonts w:hint="eastAsia" w:ascii="宋体" w:hAnsi="宋体" w:eastAsia="宋体" w:cs="宋体"/>
          <w:sz w:val="24"/>
          <w:szCs w:val="24"/>
          <w:u w:val="single"/>
        </w:rPr>
        <w:t>的</w:t>
      </w:r>
      <w:r>
        <w:rPr>
          <w:rFonts w:hint="eastAsia" w:ascii="宋体" w:hAnsi="宋体" w:eastAsia="宋体" w:cs="宋体"/>
          <w:sz w:val="24"/>
          <w:szCs w:val="24"/>
        </w:rPr>
        <w:t>专项技术服务，并支付相应的技术服务报酬。双方经过平等协商，在真实、充分地表达各自意愿的基础上，根</w:t>
      </w:r>
      <w:r>
        <w:rPr>
          <w:rFonts w:hint="eastAsia" w:ascii="宋体" w:hAnsi="宋体" w:eastAsia="宋体" w:cs="宋体"/>
          <w:sz w:val="24"/>
          <w:szCs w:val="24"/>
          <w:highlight w:val="none"/>
        </w:rPr>
        <w:t>据《中华人民共和国</w:t>
      </w:r>
      <w:r>
        <w:rPr>
          <w:rFonts w:hint="eastAsia" w:ascii="宋体" w:hAnsi="宋体" w:eastAsia="宋体" w:cs="宋体"/>
          <w:sz w:val="24"/>
          <w:szCs w:val="24"/>
          <w:highlight w:val="none"/>
          <w:lang w:val="en-US" w:eastAsia="zh-CN"/>
        </w:rPr>
        <w:t>民</w:t>
      </w:r>
      <w:r>
        <w:rPr>
          <w:rFonts w:hint="eastAsia" w:ascii="宋体" w:hAnsi="宋体" w:eastAsia="宋体" w:cs="宋体"/>
          <w:sz w:val="24"/>
          <w:szCs w:val="24"/>
          <w:highlight w:val="none"/>
        </w:rPr>
        <w:t>法</w:t>
      </w:r>
      <w:r>
        <w:rPr>
          <w:rFonts w:hint="eastAsia" w:ascii="宋体" w:hAnsi="宋体" w:eastAsia="宋体" w:cs="宋体"/>
          <w:sz w:val="24"/>
          <w:szCs w:val="24"/>
          <w:highlight w:val="none"/>
          <w:lang w:val="en-US" w:eastAsia="zh-CN"/>
        </w:rPr>
        <w:t>典</w:t>
      </w:r>
      <w:r>
        <w:rPr>
          <w:rFonts w:hint="eastAsia" w:ascii="宋体" w:hAnsi="宋体" w:eastAsia="宋体" w:cs="宋体"/>
          <w:sz w:val="24"/>
          <w:szCs w:val="24"/>
          <w:highlight w:val="none"/>
        </w:rPr>
        <w:t>》的规定，达成如下协议，并由双方共同恪守。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第一条：甲方委托乙方进行技术服务的内容如下：</w:t>
      </w:r>
    </w:p>
    <w:p>
      <w:pPr>
        <w:keepNext w:val="0"/>
        <w:keepLines w:val="0"/>
        <w:pageBreakBefore w:val="0"/>
        <w:widowControl w:val="0"/>
        <w:numPr>
          <w:ilvl w:val="0"/>
          <w:numId w:val="0"/>
        </w:numPr>
        <w:tabs>
          <w:tab w:val="left" w:pos="540"/>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rPr>
        <w:t>技术服务的</w:t>
      </w:r>
      <w:r>
        <w:rPr>
          <w:rFonts w:hint="eastAsia" w:ascii="宋体" w:hAnsi="宋体" w:eastAsia="宋体" w:cs="宋体"/>
          <w:sz w:val="24"/>
          <w:szCs w:val="24"/>
          <w:u w:val="none"/>
        </w:rPr>
        <w:t>目标：</w:t>
      </w:r>
    </w:p>
    <w:p>
      <w:pPr>
        <w:keepNext w:val="0"/>
        <w:keepLines w:val="0"/>
        <w:pageBreakBefore w:val="0"/>
        <w:widowControl w:val="0"/>
        <w:numPr>
          <w:ilvl w:val="0"/>
          <w:numId w:val="8"/>
        </w:numPr>
        <w:tabs>
          <w:tab w:val="left" w:pos="540"/>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single"/>
          <w:lang w:val="en-US" w:eastAsia="zh-CN"/>
        </w:rPr>
      </w:pPr>
      <w:r>
        <w:rPr>
          <w:rFonts w:hint="eastAsia" w:ascii="宋体" w:hAnsi="宋体" w:cs="宋体"/>
          <w:sz w:val="24"/>
          <w:szCs w:val="24"/>
          <w:u w:val="single"/>
          <w:lang w:val="en-US" w:eastAsia="zh-CN"/>
        </w:rPr>
        <w:t>内蒙古华云新材料有限公司5</w:t>
      </w:r>
      <w:r>
        <w:rPr>
          <w:rFonts w:hint="eastAsia" w:ascii="宋体" w:hAnsi="宋体" w:eastAsia="宋体" w:cs="宋体"/>
          <w:sz w:val="24"/>
          <w:szCs w:val="24"/>
          <w:u w:val="single"/>
          <w:lang w:eastAsia="zh-CN"/>
        </w:rPr>
        <w:t>家</w:t>
      </w:r>
      <w:r>
        <w:rPr>
          <w:rFonts w:hint="eastAsia" w:ascii="宋体" w:hAnsi="宋体" w:eastAsia="宋体" w:cs="宋体"/>
          <w:sz w:val="24"/>
          <w:szCs w:val="24"/>
          <w:u w:val="single"/>
          <w:lang w:val="en-US" w:eastAsia="zh-CN"/>
        </w:rPr>
        <w:t>二级</w:t>
      </w:r>
      <w:r>
        <w:rPr>
          <w:rFonts w:hint="eastAsia" w:ascii="宋体" w:hAnsi="宋体" w:eastAsia="宋体" w:cs="宋体"/>
          <w:sz w:val="24"/>
          <w:szCs w:val="24"/>
          <w:u w:val="single"/>
          <w:lang w:eastAsia="zh-CN"/>
        </w:rPr>
        <w:t>单位产生职业病危害的作业场所</w:t>
      </w:r>
      <w:r>
        <w:rPr>
          <w:rFonts w:hint="eastAsia" w:ascii="宋体" w:hAnsi="宋体" w:eastAsia="宋体" w:cs="宋体"/>
          <w:sz w:val="24"/>
          <w:szCs w:val="24"/>
          <w:u w:val="single"/>
          <w:lang w:val="en-US" w:eastAsia="zh-CN"/>
        </w:rPr>
        <w:t>进行一次年度检测相关工作，并取得报告书；</w:t>
      </w:r>
    </w:p>
    <w:p>
      <w:pPr>
        <w:keepNext w:val="0"/>
        <w:keepLines w:val="0"/>
        <w:pageBreakBefore w:val="0"/>
        <w:widowControl w:val="0"/>
        <w:numPr>
          <w:ilvl w:val="0"/>
          <w:numId w:val="8"/>
        </w:numPr>
        <w:tabs>
          <w:tab w:val="left" w:pos="540"/>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在</w:t>
      </w:r>
      <w:r>
        <w:rPr>
          <w:rFonts w:hint="eastAsia" w:ascii="宋体" w:hAnsi="宋体" w:eastAsia="宋体" w:cs="宋体"/>
          <w:sz w:val="24"/>
          <w:szCs w:val="24"/>
          <w:u w:val="single"/>
          <w:lang w:val="en-US" w:eastAsia="zh-CN"/>
        </w:rPr>
        <w:t>每</w:t>
      </w:r>
      <w:r>
        <w:rPr>
          <w:rFonts w:hint="eastAsia" w:ascii="宋体" w:hAnsi="宋体" w:eastAsia="宋体" w:cs="宋体"/>
          <w:sz w:val="24"/>
          <w:szCs w:val="24"/>
          <w:u w:val="single"/>
          <w:lang w:eastAsia="zh-CN"/>
        </w:rPr>
        <w:t>季度</w:t>
      </w:r>
      <w:r>
        <w:rPr>
          <w:rFonts w:hint="eastAsia" w:ascii="宋体" w:hAnsi="宋体" w:eastAsia="宋体" w:cs="宋体"/>
          <w:sz w:val="24"/>
          <w:szCs w:val="24"/>
          <w:u w:val="single"/>
          <w:lang w:val="en-US" w:eastAsia="zh-CN"/>
        </w:rPr>
        <w:t>次月</w:t>
      </w:r>
      <w:r>
        <w:rPr>
          <w:rFonts w:hint="eastAsia" w:ascii="宋体" w:hAnsi="宋体" w:eastAsia="宋体" w:cs="宋体"/>
          <w:sz w:val="24"/>
          <w:szCs w:val="24"/>
          <w:u w:val="single"/>
          <w:lang w:eastAsia="zh-CN"/>
        </w:rPr>
        <w:t>各进行一次重点作业场所职业病危害因素的日常检测工作，并取得报告书（</w:t>
      </w:r>
      <w:r>
        <w:rPr>
          <w:rFonts w:hint="eastAsia" w:ascii="宋体" w:hAnsi="宋体" w:eastAsia="宋体" w:cs="宋体"/>
          <w:sz w:val="24"/>
          <w:szCs w:val="24"/>
          <w:u w:val="single"/>
          <w:lang w:val="en-US" w:eastAsia="zh-CN"/>
        </w:rPr>
        <w:t>因二季度日常检测包含在年度检测中，不需要单独提供</w:t>
      </w:r>
      <w:r>
        <w:rPr>
          <w:rFonts w:hint="eastAsia" w:ascii="宋体" w:hAnsi="宋体" w:eastAsia="宋体" w:cs="宋体"/>
          <w:sz w:val="24"/>
          <w:szCs w:val="24"/>
          <w:u w:val="single"/>
          <w:lang w:eastAsia="zh-CN"/>
        </w:rPr>
        <w:t>）</w:t>
      </w:r>
    </w:p>
    <w:p>
      <w:pPr>
        <w:keepNext w:val="0"/>
        <w:keepLines w:val="0"/>
        <w:pageBreakBefore w:val="0"/>
        <w:widowControl w:val="0"/>
        <w:numPr>
          <w:ilvl w:val="0"/>
          <w:numId w:val="0"/>
        </w:numPr>
        <w:tabs>
          <w:tab w:val="left" w:pos="540"/>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技术服务的</w:t>
      </w:r>
      <w:r>
        <w:rPr>
          <w:rFonts w:hint="eastAsia" w:ascii="宋体" w:hAnsi="宋体" w:eastAsia="宋体" w:cs="宋体"/>
          <w:sz w:val="24"/>
          <w:szCs w:val="24"/>
          <w:lang w:val="en-US" w:eastAsia="zh-CN"/>
        </w:rPr>
        <w:t>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同签订后在每季度</w:t>
      </w:r>
      <w:r>
        <w:rPr>
          <w:rFonts w:hint="eastAsia" w:ascii="宋体" w:hAnsi="宋体" w:eastAsia="宋体" w:cs="宋体"/>
          <w:sz w:val="24"/>
          <w:szCs w:val="24"/>
          <w:lang w:eastAsia="zh-CN"/>
        </w:rPr>
        <w:t>末</w:t>
      </w:r>
      <w:r>
        <w:rPr>
          <w:rFonts w:hint="eastAsia" w:ascii="宋体" w:hAnsi="宋体" w:eastAsia="宋体" w:cs="宋体"/>
          <w:sz w:val="24"/>
          <w:szCs w:val="24"/>
        </w:rPr>
        <w:t>完成</w:t>
      </w:r>
      <w:r>
        <w:rPr>
          <w:rFonts w:hint="eastAsia" w:ascii="宋体" w:hAnsi="宋体" w:eastAsia="宋体" w:cs="宋体"/>
          <w:sz w:val="24"/>
          <w:szCs w:val="24"/>
          <w:lang w:eastAsia="zh-CN"/>
        </w:rPr>
        <w:t>本季度</w:t>
      </w:r>
      <w:r>
        <w:rPr>
          <w:rFonts w:hint="eastAsia" w:ascii="宋体" w:hAnsi="宋体" w:eastAsia="宋体" w:cs="宋体"/>
          <w:sz w:val="24"/>
          <w:szCs w:val="24"/>
        </w:rPr>
        <w:t>现场检测工作并出具检测结果报告书</w:t>
      </w:r>
      <w:r>
        <w:rPr>
          <w:rFonts w:hint="eastAsia" w:ascii="宋体" w:hAnsi="宋体" w:eastAsia="宋体" w:cs="宋体"/>
          <w:sz w:val="24"/>
          <w:szCs w:val="24"/>
          <w:lang w:eastAsia="zh-CN"/>
        </w:rPr>
        <w:t>。两项工作按季度开展，其中第二季度末开展</w:t>
      </w:r>
      <w:r>
        <w:rPr>
          <w:rFonts w:hint="eastAsia" w:ascii="宋体" w:hAnsi="宋体" w:eastAsia="宋体" w:cs="宋体"/>
          <w:color w:val="000000"/>
          <w:sz w:val="24"/>
          <w:szCs w:val="24"/>
        </w:rPr>
        <w:t>职业危害因素</w:t>
      </w:r>
      <w:r>
        <w:rPr>
          <w:rFonts w:hint="eastAsia" w:ascii="宋体" w:hAnsi="宋体" w:eastAsia="宋体" w:cs="宋体"/>
          <w:color w:val="000000"/>
          <w:sz w:val="24"/>
          <w:szCs w:val="24"/>
          <w:lang w:eastAsia="zh-CN"/>
        </w:rPr>
        <w:t>年度</w:t>
      </w:r>
      <w:r>
        <w:rPr>
          <w:rFonts w:hint="eastAsia" w:ascii="宋体" w:hAnsi="宋体" w:eastAsia="宋体" w:cs="宋体"/>
          <w:color w:val="000000"/>
          <w:sz w:val="24"/>
          <w:szCs w:val="24"/>
        </w:rPr>
        <w:t>检测工作</w:t>
      </w:r>
      <w:r>
        <w:rPr>
          <w:rFonts w:hint="eastAsia" w:ascii="宋体" w:hAnsi="宋体" w:eastAsia="宋体" w:cs="宋体"/>
          <w:color w:val="000000"/>
          <w:sz w:val="24"/>
          <w:szCs w:val="24"/>
          <w:lang w:eastAsia="zh-CN"/>
        </w:rPr>
        <w:t>，其他三个季度各进行一次</w:t>
      </w:r>
      <w:r>
        <w:rPr>
          <w:rFonts w:hint="eastAsia" w:ascii="宋体" w:hAnsi="宋体" w:eastAsia="宋体" w:cs="宋体"/>
          <w:sz w:val="24"/>
          <w:szCs w:val="24"/>
          <w:lang w:val="en-US" w:eastAsia="zh-CN"/>
        </w:rPr>
        <w:t>日常检测工作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第二条：技术服务工作</w:t>
      </w:r>
      <w:r>
        <w:rPr>
          <w:rFonts w:hint="eastAsia" w:ascii="宋体" w:hAnsi="宋体" w:eastAsia="宋体" w:cs="宋体"/>
          <w:sz w:val="24"/>
          <w:szCs w:val="24"/>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rPr>
        <w:t>技术服务地点：</w:t>
      </w:r>
      <w:r>
        <w:rPr>
          <w:rFonts w:hint="eastAsia" w:ascii="宋体" w:hAnsi="宋体" w:eastAsia="宋体" w:cs="宋体"/>
          <w:sz w:val="24"/>
          <w:szCs w:val="24"/>
          <w:u w:val="none"/>
        </w:rPr>
        <w:t xml:space="preserve"> 包头市  </w:t>
      </w:r>
    </w:p>
    <w:p>
      <w:pPr>
        <w:keepNext w:val="0"/>
        <w:keepLines w:val="0"/>
        <w:pageBreakBefore w:val="0"/>
        <w:widowControl w:val="0"/>
        <w:numPr>
          <w:ilvl w:val="0"/>
          <w:numId w:val="0"/>
        </w:numPr>
        <w:tabs>
          <w:tab w:val="left" w:pos="540"/>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技术服务期限：自合同签订之日起截止到202</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年</w:t>
      </w:r>
      <w:r>
        <w:rPr>
          <w:rFonts w:hint="eastAsia" w:ascii="宋体" w:hAnsi="宋体" w:eastAsia="宋体" w:cs="宋体"/>
          <w:sz w:val="24"/>
          <w:szCs w:val="24"/>
          <w:u w:val="none"/>
          <w:lang w:val="en-US" w:eastAsia="zh-CN"/>
        </w:rPr>
        <w:t>12</w:t>
      </w:r>
      <w:r>
        <w:rPr>
          <w:rFonts w:hint="eastAsia" w:ascii="宋体" w:hAnsi="宋体" w:eastAsia="宋体" w:cs="宋体"/>
          <w:sz w:val="24"/>
          <w:szCs w:val="24"/>
          <w:u w:val="none"/>
        </w:rPr>
        <w:t>月</w:t>
      </w:r>
      <w:r>
        <w:rPr>
          <w:rFonts w:hint="eastAsia" w:ascii="宋体" w:hAnsi="宋体" w:eastAsia="宋体" w:cs="宋体"/>
          <w:sz w:val="24"/>
          <w:szCs w:val="24"/>
          <w:u w:val="none"/>
          <w:lang w:val="en-US" w:eastAsia="zh-CN"/>
        </w:rPr>
        <w:t>31</w:t>
      </w:r>
      <w:r>
        <w:rPr>
          <w:rFonts w:hint="eastAsia" w:ascii="宋体" w:hAnsi="宋体" w:eastAsia="宋体" w:cs="宋体"/>
          <w:sz w:val="24"/>
          <w:szCs w:val="24"/>
          <w:u w:val="none"/>
        </w:rPr>
        <w:t xml:space="preserve">日 </w:t>
      </w:r>
    </w:p>
    <w:p>
      <w:pPr>
        <w:keepNext w:val="0"/>
        <w:keepLines w:val="0"/>
        <w:pageBreakBefore w:val="0"/>
        <w:widowControl w:val="0"/>
        <w:numPr>
          <w:ilvl w:val="0"/>
          <w:numId w:val="0"/>
        </w:numPr>
        <w:tabs>
          <w:tab w:val="left" w:pos="540"/>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技术服务进度：</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u w:val="none"/>
        </w:rPr>
        <w:t>合同签订后在</w:t>
      </w:r>
      <w:r>
        <w:rPr>
          <w:rFonts w:hint="eastAsia" w:ascii="宋体" w:hAnsi="宋体" w:eastAsia="宋体" w:cs="宋体"/>
          <w:sz w:val="24"/>
          <w:szCs w:val="24"/>
          <w:u w:val="none"/>
          <w:lang w:val="en-US" w:eastAsia="zh-CN"/>
        </w:rPr>
        <w:t>每</w:t>
      </w:r>
      <w:r>
        <w:rPr>
          <w:rFonts w:hint="eastAsia" w:ascii="宋体" w:hAnsi="宋体" w:eastAsia="宋体" w:cs="宋体"/>
          <w:sz w:val="24"/>
          <w:szCs w:val="24"/>
          <w:u w:val="none"/>
        </w:rPr>
        <w:t>季度</w:t>
      </w:r>
      <w:r>
        <w:rPr>
          <w:rFonts w:hint="eastAsia" w:ascii="宋体" w:hAnsi="宋体" w:eastAsia="宋体" w:cs="宋体"/>
          <w:sz w:val="24"/>
          <w:szCs w:val="24"/>
          <w:u w:val="none"/>
          <w:lang w:val="en-US" w:eastAsia="zh-CN"/>
        </w:rPr>
        <w:t>末</w:t>
      </w:r>
      <w:r>
        <w:rPr>
          <w:rFonts w:hint="eastAsia" w:ascii="宋体" w:hAnsi="宋体" w:eastAsia="宋体" w:cs="宋体"/>
          <w:sz w:val="24"/>
          <w:szCs w:val="24"/>
          <w:u w:val="none"/>
        </w:rPr>
        <w:t>完成现场检测工作</w:t>
      </w:r>
      <w:r>
        <w:rPr>
          <w:rFonts w:hint="eastAsia" w:ascii="宋体" w:hAnsi="宋体" w:eastAsia="宋体" w:cs="宋体"/>
          <w:sz w:val="24"/>
          <w:szCs w:val="24"/>
          <w:u w:val="none"/>
          <w:lang w:eastAsia="zh-CN"/>
        </w:rPr>
        <w:t>，</w:t>
      </w:r>
      <w:r>
        <w:rPr>
          <w:rFonts w:hint="eastAsia" w:ascii="宋体" w:hAnsi="宋体" w:eastAsia="宋体" w:cs="宋体"/>
          <w:sz w:val="24"/>
          <w:szCs w:val="24"/>
        </w:rPr>
        <w:t>检测工作完成后</w:t>
      </w:r>
      <w:r>
        <w:rPr>
          <w:rFonts w:hint="eastAsia" w:ascii="宋体" w:hAnsi="宋体" w:eastAsia="宋体" w:cs="宋体"/>
          <w:sz w:val="24"/>
          <w:szCs w:val="24"/>
          <w:lang w:val="en-US" w:eastAsia="zh-CN"/>
        </w:rPr>
        <w:t>20</w:t>
      </w:r>
      <w:r>
        <w:rPr>
          <w:rFonts w:hint="eastAsia" w:ascii="宋体" w:hAnsi="宋体" w:eastAsia="宋体" w:cs="宋体"/>
          <w:sz w:val="24"/>
          <w:szCs w:val="24"/>
        </w:rPr>
        <w:t>个日历天出具检测评价报告书</w:t>
      </w:r>
      <w:r>
        <w:rPr>
          <w:rFonts w:hint="eastAsia" w:ascii="宋体" w:hAnsi="宋体" w:eastAsia="宋体" w:cs="宋体"/>
          <w:sz w:val="24"/>
          <w:szCs w:val="24"/>
          <w:lang w:eastAsia="zh-CN"/>
        </w:rPr>
        <w:t>；</w:t>
      </w:r>
    </w:p>
    <w:p>
      <w:pPr>
        <w:keepNext w:val="0"/>
        <w:keepLines w:val="0"/>
        <w:pageBreakBefore w:val="0"/>
        <w:widowControl w:val="0"/>
        <w:numPr>
          <w:ilvl w:val="0"/>
          <w:numId w:val="0"/>
        </w:numPr>
        <w:tabs>
          <w:tab w:val="left" w:pos="540"/>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并</w:t>
      </w:r>
      <w:r>
        <w:rPr>
          <w:rFonts w:hint="eastAsia" w:ascii="宋体" w:hAnsi="宋体" w:eastAsia="宋体" w:cs="宋体"/>
          <w:sz w:val="24"/>
          <w:szCs w:val="24"/>
          <w:u w:val="none"/>
        </w:rPr>
        <w:t>出具检测</w:t>
      </w:r>
      <w:r>
        <w:rPr>
          <w:rFonts w:hint="eastAsia" w:ascii="宋体" w:hAnsi="宋体" w:eastAsia="宋体" w:cs="宋体"/>
          <w:sz w:val="24"/>
          <w:szCs w:val="24"/>
          <w:u w:val="none"/>
          <w:lang w:val="en-US" w:eastAsia="zh-CN"/>
        </w:rPr>
        <w:t>结果</w:t>
      </w:r>
      <w:r>
        <w:rPr>
          <w:rFonts w:hint="eastAsia" w:ascii="宋体" w:hAnsi="宋体" w:eastAsia="宋体" w:cs="宋体"/>
          <w:sz w:val="24"/>
          <w:szCs w:val="24"/>
          <w:u w:val="none"/>
        </w:rPr>
        <w:t>报告书</w:t>
      </w:r>
      <w:r>
        <w:rPr>
          <w:rFonts w:hint="eastAsia" w:ascii="宋体" w:hAnsi="宋体" w:eastAsia="宋体" w:cs="宋体"/>
          <w:sz w:val="24"/>
          <w:szCs w:val="24"/>
          <w:u w:val="none"/>
          <w:lang w:eastAsia="zh-CN"/>
        </w:rPr>
        <w:t>。</w:t>
      </w:r>
    </w:p>
    <w:p>
      <w:pPr>
        <w:keepNext w:val="0"/>
        <w:keepLines w:val="0"/>
        <w:pageBreakBefore w:val="0"/>
        <w:widowControl w:val="0"/>
        <w:numPr>
          <w:ilvl w:val="0"/>
          <w:numId w:val="0"/>
        </w:numPr>
        <w:tabs>
          <w:tab w:val="left" w:pos="540"/>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技术服务质量要求：</w:t>
      </w:r>
      <w:r>
        <w:rPr>
          <w:rFonts w:hint="eastAsia" w:ascii="宋体" w:hAnsi="宋体" w:eastAsia="宋体" w:cs="宋体"/>
          <w:sz w:val="24"/>
          <w:szCs w:val="24"/>
          <w:lang w:eastAsia="zh-CN"/>
        </w:rPr>
        <w:t>严格按照《</w:t>
      </w:r>
      <w:r>
        <w:rPr>
          <w:rFonts w:hint="eastAsia" w:ascii="宋体" w:hAnsi="宋体" w:eastAsia="宋体" w:cs="宋体"/>
          <w:color w:val="000000"/>
          <w:kern w:val="0"/>
          <w:sz w:val="24"/>
          <w:szCs w:val="24"/>
          <w:lang w:val="en-US" w:eastAsia="zh-CN" w:bidi="ar"/>
        </w:rPr>
        <w:t>工作场所空气中有害物质监测的采样规范</w:t>
      </w:r>
      <w:r>
        <w:rPr>
          <w:rFonts w:hint="eastAsia" w:ascii="宋体" w:hAnsi="宋体" w:eastAsia="宋体" w:cs="宋体"/>
          <w:sz w:val="24"/>
          <w:szCs w:val="24"/>
          <w:lang w:eastAsia="zh-CN"/>
        </w:rPr>
        <w:t>》（</w:t>
      </w:r>
      <w:r>
        <w:rPr>
          <w:rFonts w:hint="eastAsia" w:ascii="宋体" w:hAnsi="宋体" w:eastAsia="宋体" w:cs="宋体"/>
          <w:color w:val="000000"/>
          <w:kern w:val="0"/>
          <w:sz w:val="24"/>
          <w:szCs w:val="24"/>
          <w:lang w:val="en-US" w:eastAsia="zh-CN" w:bidi="ar"/>
        </w:rPr>
        <w:t>GBZ 159－2004</w:t>
      </w:r>
      <w:r>
        <w:rPr>
          <w:rFonts w:hint="eastAsia" w:ascii="宋体" w:hAnsi="宋体" w:eastAsia="宋体" w:cs="宋体"/>
          <w:sz w:val="24"/>
          <w:szCs w:val="24"/>
          <w:lang w:eastAsia="zh-CN"/>
        </w:rPr>
        <w:t>）中布点、检测频次要求进行布设点位和检测，</w:t>
      </w:r>
      <w:r>
        <w:rPr>
          <w:rFonts w:hint="eastAsia" w:ascii="宋体" w:hAnsi="宋体" w:eastAsia="宋体" w:cs="宋体"/>
          <w:sz w:val="24"/>
          <w:szCs w:val="24"/>
          <w:highlight w:val="none"/>
          <w:u w:val="none"/>
          <w:lang w:val="en-US" w:eastAsia="zh-CN"/>
        </w:rPr>
        <w:t>并取得检测结果报告</w:t>
      </w:r>
      <w:r>
        <w:rPr>
          <w:rFonts w:hint="eastAsia" w:ascii="宋体" w:hAnsi="宋体" w:eastAsia="宋体" w:cs="宋体"/>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第三条：为保证乙方有效进行技术服务工作，甲方应当向乙方提供下列工作条件和协作事项：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1、技术资料：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最近一次职业病危害现状</w:t>
      </w:r>
      <w:r>
        <w:rPr>
          <w:rFonts w:hint="eastAsia" w:ascii="宋体" w:hAnsi="宋体" w:eastAsia="宋体" w:cs="宋体"/>
          <w:sz w:val="24"/>
          <w:szCs w:val="24"/>
          <w:u w:val="none"/>
        </w:rPr>
        <w:t>评价报</w:t>
      </w:r>
      <w:r>
        <w:rPr>
          <w:rFonts w:hint="eastAsia" w:ascii="宋体" w:hAnsi="宋体" w:eastAsia="宋体" w:cs="宋体"/>
          <w:sz w:val="24"/>
          <w:szCs w:val="24"/>
          <w:u w:val="none"/>
          <w:lang w:val="en-US" w:eastAsia="zh-CN"/>
        </w:rPr>
        <w:t xml:space="preserve">告、员工职业健康体检报告等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2、其它： 甲方对乙方的现场</w:t>
      </w:r>
      <w:r>
        <w:rPr>
          <w:rFonts w:hint="eastAsia" w:ascii="宋体" w:hAnsi="宋体" w:eastAsia="宋体" w:cs="宋体"/>
          <w:sz w:val="24"/>
          <w:szCs w:val="24"/>
          <w:u w:val="none"/>
          <w:lang w:val="en-US" w:eastAsia="zh-CN"/>
        </w:rPr>
        <w:t>检测及</w:t>
      </w:r>
      <w:r>
        <w:rPr>
          <w:rFonts w:hint="eastAsia" w:ascii="宋体" w:hAnsi="宋体" w:eastAsia="宋体" w:cs="宋体"/>
          <w:sz w:val="24"/>
          <w:szCs w:val="24"/>
          <w:u w:val="none"/>
        </w:rPr>
        <w:t xml:space="preserve">检查工作应给予各方面支持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第四条：甲方向乙方支付技术服务报酬及支付方式：</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技术服务费总额（含税）为￥：</w:t>
      </w: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rPr>
        <w:t>元（人民币大写：</w:t>
      </w: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rPr>
        <w:t>元整），不含税金额</w:t>
      </w:r>
      <w:r>
        <w:rPr>
          <w:rFonts w:hint="eastAsia" w:ascii="宋体" w:hAnsi="宋体" w:eastAsia="宋体" w:cs="宋体"/>
          <w:b w:val="0"/>
          <w:bCs w:val="0"/>
          <w:sz w:val="24"/>
          <w:szCs w:val="24"/>
          <w:u w:val="none"/>
          <w:lang w:val="en-US" w:eastAsia="zh-CN"/>
        </w:rPr>
        <w:t>为</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rPr>
        <w:t>元，人民币大写</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lang w:val="en-US" w:eastAsia="zh-CN"/>
        </w:rPr>
        <w:t>*万*</w:t>
      </w:r>
      <w:r>
        <w:rPr>
          <w:rFonts w:hint="eastAsia" w:ascii="宋体" w:hAnsi="宋体" w:eastAsia="宋体" w:cs="宋体"/>
          <w:b w:val="0"/>
          <w:bCs w:val="0"/>
          <w:sz w:val="24"/>
          <w:szCs w:val="24"/>
          <w:u w:val="none"/>
          <w:lang w:eastAsia="zh-CN"/>
        </w:rPr>
        <w:t>仟</w:t>
      </w:r>
      <w:r>
        <w:rPr>
          <w:rFonts w:hint="eastAsia" w:ascii="宋体" w:hAnsi="宋体" w:eastAsia="宋体" w:cs="宋体"/>
          <w:b w:val="0"/>
          <w:bCs w:val="0"/>
          <w:sz w:val="24"/>
          <w:szCs w:val="24"/>
          <w:u w:val="none"/>
          <w:lang w:val="en-US" w:eastAsia="zh-CN"/>
        </w:rPr>
        <w:t xml:space="preserve">*佰*拾*元*角*分 </w:t>
      </w:r>
      <w:r>
        <w:rPr>
          <w:rFonts w:hint="eastAsia" w:ascii="宋体" w:hAnsi="宋体" w:eastAsia="宋体" w:cs="宋体"/>
          <w:b w:val="0"/>
          <w:bCs w:val="0"/>
          <w:sz w:val="24"/>
          <w:szCs w:val="24"/>
          <w:u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2、技术服务费由甲方一次</w:t>
      </w:r>
      <w:r>
        <w:rPr>
          <w:rFonts w:hint="eastAsia" w:ascii="宋体" w:hAnsi="宋体" w:eastAsia="宋体" w:cs="宋体"/>
          <w:sz w:val="24"/>
          <w:szCs w:val="24"/>
          <w:u w:val="none"/>
          <w:lang w:eastAsia="zh-CN"/>
        </w:rPr>
        <w:t>性</w:t>
      </w:r>
      <w:r>
        <w:rPr>
          <w:rFonts w:hint="eastAsia" w:ascii="宋体" w:hAnsi="宋体" w:eastAsia="宋体" w:cs="宋体"/>
          <w:sz w:val="24"/>
          <w:szCs w:val="24"/>
          <w:u w:val="none"/>
        </w:rPr>
        <w:t>支付乙方。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具体支付方式和时间如下：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b w:val="0"/>
          <w:bCs w:val="0"/>
          <w:sz w:val="24"/>
          <w:szCs w:val="24"/>
          <w:u w:val="none"/>
          <w:lang w:val="en-US" w:eastAsia="zh-CN"/>
        </w:rPr>
        <w:t>乙方完成全年检测工作并出具结果报告，</w:t>
      </w:r>
      <w:r>
        <w:rPr>
          <w:rFonts w:hint="eastAsia" w:ascii="宋体" w:hAnsi="宋体" w:eastAsia="宋体" w:cs="宋体"/>
          <w:b w:val="0"/>
          <w:bCs w:val="0"/>
          <w:sz w:val="24"/>
          <w:szCs w:val="24"/>
          <w:u w:val="none"/>
        </w:rPr>
        <w:t>开具增值税专用发票（6%）</w:t>
      </w:r>
      <w:r>
        <w:rPr>
          <w:rFonts w:hint="eastAsia" w:ascii="宋体" w:hAnsi="宋体" w:eastAsia="宋体" w:cs="宋体"/>
          <w:b w:val="0"/>
          <w:bCs w:val="0"/>
          <w:sz w:val="24"/>
          <w:szCs w:val="24"/>
          <w:u w:val="none"/>
          <w:lang w:eastAsia="zh-CN"/>
        </w:rPr>
        <w:t>挂账后</w:t>
      </w:r>
      <w:r>
        <w:rPr>
          <w:rFonts w:hint="eastAsia" w:ascii="宋体" w:hAnsi="宋体" w:eastAsia="宋体" w:cs="宋体"/>
          <w:b w:val="0"/>
          <w:bCs w:val="0"/>
          <w:sz w:val="24"/>
          <w:szCs w:val="24"/>
          <w:u w:val="none"/>
        </w:rPr>
        <w:t>，甲方一次性支付乙方全部费用</w:t>
      </w:r>
      <w:r>
        <w:rPr>
          <w:rFonts w:hint="eastAsia" w:cs="Times New Roman"/>
          <w:kern w:val="2"/>
          <w:lang w:eastAsia="zh-CN"/>
        </w:rPr>
        <w:t>（现金或承兑）</w:t>
      </w:r>
      <w:r>
        <w:rPr>
          <w:rFonts w:hint="eastAsia" w:ascii="宋体" w:hAnsi="宋体" w:eastAsia="宋体" w:cs="宋体"/>
          <w:b w:val="0"/>
          <w:bCs w:val="0"/>
          <w:sz w:val="24"/>
          <w:szCs w:val="24"/>
          <w:u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（2）乙方开户银行名称、地址和帐号为：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single"/>
          <w:lang w:val="en-US" w:eastAsia="zh-CN"/>
        </w:rPr>
      </w:pPr>
      <w:r>
        <w:rPr>
          <w:rFonts w:hint="eastAsia" w:ascii="宋体" w:hAnsi="宋体" w:eastAsia="宋体" w:cs="宋体"/>
          <w:b w:val="0"/>
          <w:bCs w:val="0"/>
          <w:sz w:val="24"/>
          <w:szCs w:val="24"/>
        </w:rPr>
        <w:t>开户银行</w:t>
      </w:r>
      <w:r>
        <w:rPr>
          <w:rFonts w:hint="eastAsia" w:ascii="宋体" w:hAnsi="宋体" w:eastAsia="宋体" w:cs="宋体"/>
          <w:b w:val="0"/>
          <w:bCs w:val="0"/>
          <w:sz w:val="24"/>
          <w:szCs w:val="24"/>
          <w:lang w:val="en-US" w:eastAsia="zh-CN"/>
        </w:rPr>
        <w:t>：</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帐    号：</w:t>
      </w:r>
      <w:r>
        <w:rPr>
          <w:rFonts w:hint="eastAsia" w:ascii="宋体" w:hAnsi="宋体" w:eastAsia="宋体" w:cs="宋体"/>
          <w:b w:val="0"/>
          <w:bCs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第五条：双方确定因履行本合同应遵守的保密义务如下：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本合同一方因本合同的洽谈、缔约以及履行过程中获得或知悉的对方任何无法自公开渠道获得的资料和信息（包括商业机密、计划、运营活动、财务信息、技术信息、经营信息及其他商业秘密）均视为保密内容，信息接收方应当承担保密义务。信息接收方未经信息披露方书面同意，不可将保密内容以任何方式透露给第三方或用于本合同以外其他事项，但法律、法规另有规定或双方另有约定除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2、本条款不因合同的不生效，合同的无效或者部分无效，合同的终止而失去约束力。</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3、涉密人员范围</w:t>
      </w:r>
      <w:r>
        <w:rPr>
          <w:rFonts w:hint="eastAsia" w:ascii="宋体" w:hAnsi="宋体" w:eastAsia="宋体" w:cs="宋体"/>
          <w:sz w:val="24"/>
          <w:szCs w:val="24"/>
          <w:u w:val="none"/>
        </w:rPr>
        <w:t>：甲方、乙方</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4、保密期限：</w:t>
      </w:r>
      <w:r>
        <w:rPr>
          <w:rFonts w:hint="eastAsia" w:ascii="宋体" w:hAnsi="宋体" w:eastAsia="宋体" w:cs="宋体"/>
          <w:sz w:val="24"/>
          <w:szCs w:val="24"/>
          <w:u w:val="none"/>
        </w:rPr>
        <w:t>3年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第六条：本合同的变更必须由双方协商一致，并以书面形式确定。但有下列情形之一的，一方可以向另一方提出变更合同权利与义务的请求，另一方应当在3日内予以答复；逾期未予答复的，视为同意：</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编制评价报告内容变更。</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因技术或其他原因不能按时完成</w:t>
      </w:r>
      <w:r>
        <w:rPr>
          <w:rFonts w:hint="eastAsia" w:ascii="宋体" w:hAnsi="宋体" w:eastAsia="宋体" w:cs="宋体"/>
          <w:sz w:val="24"/>
          <w:szCs w:val="24"/>
          <w:lang w:val="en-US" w:eastAsia="zh-CN"/>
        </w:rPr>
        <w:t>现状</w:t>
      </w:r>
      <w:r>
        <w:rPr>
          <w:rFonts w:hint="eastAsia" w:ascii="宋体" w:hAnsi="宋体" w:eastAsia="宋体" w:cs="宋体"/>
          <w:sz w:val="24"/>
          <w:szCs w:val="24"/>
        </w:rPr>
        <w:t>评价</w:t>
      </w:r>
      <w:r>
        <w:rPr>
          <w:rFonts w:hint="eastAsia" w:ascii="宋体" w:hAnsi="宋体" w:eastAsia="宋体" w:cs="宋体"/>
          <w:sz w:val="24"/>
          <w:szCs w:val="24"/>
          <w:lang w:val="en-US" w:eastAsia="zh-CN"/>
        </w:rPr>
        <w:t>评审相关工作和每季度的日常检测工作</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第七条：双方确定以下列标准对乙方的技术服务工作成果进行验收：</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技术服务工作成果的验收标准：</w:t>
      </w:r>
      <w:r>
        <w:rPr>
          <w:rFonts w:hint="eastAsia" w:ascii="宋体" w:hAnsi="宋体" w:eastAsia="宋体" w:cs="宋体"/>
          <w:sz w:val="24"/>
          <w:szCs w:val="24"/>
          <w:u w:val="none"/>
          <w:lang w:val="en-US" w:eastAsia="zh-CN"/>
        </w:rPr>
        <w:t>年度及日常检测完成出具检测结果报告。</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技术服务工作成果的验收方法：</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查看</w:t>
      </w:r>
      <w:r>
        <w:rPr>
          <w:rFonts w:hint="eastAsia" w:ascii="宋体" w:hAnsi="宋体" w:eastAsia="宋体" w:cs="宋体"/>
          <w:sz w:val="24"/>
          <w:szCs w:val="24"/>
          <w:u w:val="none"/>
          <w:lang w:val="en-US" w:eastAsia="zh-CN"/>
        </w:rPr>
        <w:t>职业病危害现状</w:t>
      </w:r>
      <w:r>
        <w:rPr>
          <w:rFonts w:hint="eastAsia" w:ascii="宋体" w:hAnsi="宋体" w:eastAsia="宋体" w:cs="宋体"/>
          <w:sz w:val="24"/>
          <w:szCs w:val="24"/>
          <w:u w:val="none"/>
        </w:rPr>
        <w:t>评价报告、专家评审意见。</w:t>
      </w:r>
      <w:r>
        <w:rPr>
          <w:rFonts w:hint="eastAsia" w:ascii="宋体" w:hAnsi="宋体" w:eastAsia="宋体" w:cs="宋体"/>
          <w:sz w:val="24"/>
          <w:szCs w:val="24"/>
          <w:u w:val="none"/>
          <w:lang w:val="en-US" w:eastAsia="zh-CN"/>
        </w:rPr>
        <w:t>2、查看日常检测结果报告。</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3、验收地点：</w:t>
      </w:r>
      <w:r>
        <w:rPr>
          <w:rFonts w:hint="eastAsia" w:ascii="宋体" w:hAnsi="宋体" w:eastAsia="宋体" w:cs="宋体"/>
          <w:sz w:val="24"/>
          <w:szCs w:val="24"/>
          <w:u w:val="none"/>
          <w:lang w:eastAsia="zh-CN"/>
        </w:rPr>
        <w:t>包头铝业有限公司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第八条：双方确定：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rPr>
        <w:t>1、在本合同有效期内，甲方利用乙方提交的技术服务工作成果所完成的新的技术成果，</w:t>
      </w:r>
      <w:r>
        <w:rPr>
          <w:rFonts w:hint="eastAsia" w:ascii="宋体" w:hAnsi="宋体" w:eastAsia="宋体" w:cs="宋体"/>
          <w:sz w:val="24"/>
          <w:szCs w:val="24"/>
          <w:u w:val="none"/>
        </w:rPr>
        <w:t>归双方所有。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2、在本合同有效期内，乙方利用甲方提供的技术服务资料和工作条件下所完成的新的技术成果，归甲方所有。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3、如因国家政策规范调整，影响到服务技术成果及结果， 双方协商决定调整。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第九条：双方确定，按以下约定承担各自的违约责任：</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因甲方原因，致使乙方不能如期开展工作，乙方不承担责任。</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因乙方原因，不能按时提交检测结果报告，每延迟一日，乙方向甲方支付合同总额1%的违约金。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3、由于乙方编制的报告书质量不符合要求等原因造成返工时，所需费用由乙方负担。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highlight w:val="yellow"/>
        </w:rPr>
      </w:pPr>
      <w:r>
        <w:rPr>
          <w:rFonts w:hint="eastAsia" w:ascii="宋体" w:hAnsi="宋体" w:eastAsia="宋体" w:cs="宋体"/>
          <w:sz w:val="24"/>
          <w:szCs w:val="24"/>
        </w:rPr>
        <w:t>第十条：双方确定，在本合同有效期内，甲方指定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为甲方项目联系人，乙方指定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为乙方项目联系人。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第十一条：双方确定，出现下列情形，致使本合同的履行成为不必要或不可能的，可以解除本合同：</w:t>
      </w:r>
    </w:p>
    <w:p>
      <w:pPr>
        <w:keepNext w:val="0"/>
        <w:keepLines w:val="0"/>
        <w:pageBreakBefore w:val="0"/>
        <w:widowControl w:val="0"/>
        <w:numPr>
          <w:ilvl w:val="0"/>
          <w:numId w:val="12"/>
        </w:numPr>
        <w:tabs>
          <w:tab w:val="left" w:pos="900"/>
          <w:tab w:val="clear" w:pos="12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发生不可抗力；</w:t>
      </w:r>
    </w:p>
    <w:p>
      <w:pPr>
        <w:keepNext w:val="0"/>
        <w:keepLines w:val="0"/>
        <w:pageBreakBefore w:val="0"/>
        <w:widowControl w:val="0"/>
        <w:numPr>
          <w:ilvl w:val="0"/>
          <w:numId w:val="12"/>
        </w:numPr>
        <w:tabs>
          <w:tab w:val="left" w:pos="900"/>
          <w:tab w:val="clear" w:pos="12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双方协商一致。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第十二条：双方因履行本合同而发生的争议，应协商、调解解决。协商、调解不成的，确定按以下第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1、提交</w:t>
      </w:r>
      <w:r>
        <w:rPr>
          <w:rFonts w:hint="eastAsia" w:ascii="宋体" w:hAnsi="宋体" w:eastAsia="宋体" w:cs="宋体"/>
          <w:sz w:val="24"/>
          <w:szCs w:val="24"/>
          <w:lang w:val="en-US" w:eastAsia="zh-CN"/>
        </w:rPr>
        <w:t>仲</w:t>
      </w:r>
      <w:r>
        <w:rPr>
          <w:rFonts w:hint="eastAsia" w:ascii="宋体" w:hAnsi="宋体" w:eastAsia="宋体" w:cs="宋体"/>
          <w:sz w:val="24"/>
          <w:szCs w:val="24"/>
        </w:rPr>
        <w:t>裁委员会仲裁；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2、依法向包头市东河区人民法院起诉。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rPr>
        <w:t>第十三条：双方约定本合同其他相关事项为</w:t>
      </w:r>
      <w:r>
        <w:rPr>
          <w:rFonts w:hint="eastAsia" w:ascii="宋体" w:hAnsi="宋体" w:eastAsia="宋体" w:cs="宋体"/>
          <w:sz w:val="24"/>
          <w:szCs w:val="24"/>
          <w:lang w:eastAsia="zh-CN"/>
        </w:rPr>
        <w:t>：</w:t>
      </w:r>
      <w:r>
        <w:rPr>
          <w:rFonts w:hint="eastAsia" w:ascii="宋体" w:hAnsi="宋体" w:eastAsia="宋体" w:cs="宋体"/>
          <w:sz w:val="24"/>
          <w:szCs w:val="24"/>
          <w:u w:val="none"/>
        </w:rPr>
        <w:t>由于甲方提供资料不及时等或其它原因由甲方负责，由于乙方原因造成</w:t>
      </w:r>
      <w:r>
        <w:rPr>
          <w:rFonts w:hint="eastAsia" w:ascii="宋体" w:hAnsi="宋体" w:eastAsia="宋体" w:cs="宋体"/>
          <w:sz w:val="24"/>
          <w:szCs w:val="24"/>
          <w:u w:val="none"/>
          <w:lang w:val="en-US" w:eastAsia="zh-CN"/>
        </w:rPr>
        <w:t>检测报告</w:t>
      </w:r>
      <w:r>
        <w:rPr>
          <w:rFonts w:hint="eastAsia" w:ascii="宋体" w:hAnsi="宋体" w:eastAsia="宋体" w:cs="宋体"/>
          <w:sz w:val="24"/>
          <w:szCs w:val="24"/>
          <w:u w:val="none"/>
        </w:rPr>
        <w:t xml:space="preserve">不能如期完成由乙方负责。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第十四条：本合同一式</w:t>
      </w:r>
      <w:r>
        <w:rPr>
          <w:rFonts w:hint="eastAsia" w:ascii="宋体" w:hAnsi="宋体" w:eastAsia="宋体" w:cs="宋体"/>
          <w:sz w:val="24"/>
          <w:szCs w:val="24"/>
          <w:u w:val="single"/>
        </w:rPr>
        <w:t xml:space="preserve"> 肆 </w:t>
      </w:r>
      <w:r>
        <w:rPr>
          <w:rFonts w:hint="eastAsia" w:ascii="宋体" w:hAnsi="宋体" w:eastAsia="宋体" w:cs="宋体"/>
          <w:sz w:val="24"/>
          <w:szCs w:val="24"/>
        </w:rPr>
        <w:t>份，双方各执</w:t>
      </w:r>
      <w:r>
        <w:rPr>
          <w:rFonts w:hint="eastAsia" w:ascii="宋体" w:hAnsi="宋体" w:eastAsia="宋体" w:cs="宋体"/>
          <w:sz w:val="24"/>
          <w:szCs w:val="24"/>
          <w:u w:val="single"/>
          <w:lang w:val="en-US" w:eastAsia="zh-CN"/>
        </w:rPr>
        <w:t>贰</w:t>
      </w:r>
      <w:r>
        <w:rPr>
          <w:rFonts w:hint="eastAsia" w:ascii="宋体" w:hAnsi="宋体" w:eastAsia="宋体" w:cs="宋体"/>
          <w:sz w:val="24"/>
          <w:szCs w:val="24"/>
        </w:rPr>
        <w:t>份，具有同等法律效力。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第十五条：本合同经双方签字盖章后生效。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第十六条：本合同双方委托代理人的代理权只有在加盖合同专用章或者公章追认后方具有效力。任何有关本合同补充、变更、解除、终止的文书，只有双方加盖公司公章或合同专用章后方具有效力。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以下无正文</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lang w:eastAsia="zh-CN"/>
        </w:rPr>
        <w:t>包头铝业有限公司</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（签名）</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72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u w:val="none"/>
        </w:rPr>
        <w:t>乙方：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（盖章）</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（签名）</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pPr>
        <w:ind w:firstLine="1440" w:firstLineChars="600"/>
        <w:rPr>
          <w:rFonts w:hint="eastAsia" w:ascii="宋体" w:hAnsi="宋体" w:eastAsia="宋体" w:cs="宋体"/>
          <w:sz w:val="24"/>
          <w:szCs w:val="24"/>
        </w:rPr>
      </w:pPr>
      <w:r>
        <w:rPr>
          <w:rFonts w:hint="eastAsia" w:ascii="宋体" w:hAnsi="宋体" w:eastAsia="宋体" w:cs="宋体"/>
          <w:sz w:val="24"/>
          <w:szCs w:val="24"/>
        </w:rPr>
        <w:t xml:space="preserve">                               年   月   日</w:t>
      </w:r>
    </w:p>
    <w:p>
      <w:pPr>
        <w:ind w:firstLine="1440" w:firstLineChars="600"/>
        <w:rPr>
          <w:rFonts w:hint="eastAsia" w:ascii="宋体" w:hAnsi="宋体" w:eastAsia="宋体" w:cs="宋体"/>
          <w:sz w:val="24"/>
          <w:szCs w:val="24"/>
        </w:rPr>
      </w:pPr>
    </w:p>
    <w:p>
      <w:pPr>
        <w:ind w:firstLine="720" w:firstLineChars="300"/>
        <w:rPr>
          <w:rFonts w:hint="eastAsia" w:ascii="宋体" w:hAnsi="宋体" w:eastAsia="宋体" w:cs="宋体"/>
          <w:sz w:val="24"/>
          <w:szCs w:val="24"/>
        </w:rPr>
      </w:pPr>
      <w:r>
        <w:rPr>
          <w:rFonts w:hint="eastAsia" w:ascii="宋体" w:hAnsi="宋体" w:eastAsia="宋体" w:cs="宋体"/>
          <w:sz w:val="24"/>
          <w:szCs w:val="24"/>
        </w:rPr>
        <w:t>承办部门负责人（签字）：</w:t>
      </w:r>
    </w:p>
    <w:p>
      <w:pPr>
        <w:ind w:firstLine="720" w:firstLineChars="300"/>
        <w:rPr>
          <w:rFonts w:hint="eastAsia" w:ascii="宋体" w:hAnsi="宋体" w:eastAsia="宋体" w:cs="宋体"/>
          <w:sz w:val="24"/>
          <w:szCs w:val="24"/>
        </w:rPr>
      </w:pPr>
    </w:p>
    <w:p>
      <w:pPr>
        <w:ind w:firstLine="720" w:firstLineChars="300"/>
        <w:rPr>
          <w:rFonts w:hint="eastAsia" w:ascii="宋体" w:hAnsi="宋体" w:eastAsia="宋体" w:cs="宋体"/>
          <w:sz w:val="24"/>
          <w:szCs w:val="24"/>
        </w:rPr>
      </w:pPr>
      <w:r>
        <w:rPr>
          <w:rFonts w:hint="eastAsia" w:ascii="宋体" w:hAnsi="宋体" w:eastAsia="宋体" w:cs="宋体"/>
          <w:sz w:val="24"/>
          <w:szCs w:val="24"/>
        </w:rPr>
        <w:t>承办人（签字）：</w:t>
      </w:r>
    </w:p>
    <w:p>
      <w:pPr>
        <w:rPr>
          <w:rFonts w:hint="eastAsia" w:ascii="宋体" w:hAnsi="宋体" w:eastAsia="宋体" w:cs="宋体"/>
          <w:sz w:val="24"/>
          <w:szCs w:val="24"/>
        </w:rPr>
      </w:pPr>
    </w:p>
    <w:p>
      <w:pPr>
        <w:widowControl/>
        <w:spacing w:line="360" w:lineRule="auto"/>
        <w:jc w:val="left"/>
        <w:rPr>
          <w:rFonts w:hint="eastAsia" w:ascii="宋体" w:hAnsi="宋体" w:eastAsia="宋体" w:cs="宋体"/>
          <w:b/>
          <w:snapToGrid w:val="0"/>
          <w:color w:val="000000"/>
          <w:kern w:val="0"/>
          <w:sz w:val="24"/>
          <w:szCs w:val="24"/>
        </w:rPr>
      </w:pPr>
      <w:r>
        <w:rPr>
          <w:rFonts w:hint="eastAsia" w:ascii="宋体" w:hAnsi="宋体" w:eastAsia="宋体" w:cs="宋体"/>
          <w:b/>
          <w:sz w:val="24"/>
          <w:szCs w:val="24"/>
        </w:rPr>
        <w:br w:type="page"/>
      </w:r>
    </w:p>
    <w:p>
      <w:pPr>
        <w:pStyle w:val="297"/>
        <w:spacing w:line="276" w:lineRule="auto"/>
        <w:ind w:firstLine="0" w:firstLineChars="0"/>
        <w:jc w:val="center"/>
      </w:pPr>
      <w:r>
        <w:rPr>
          <w:rFonts w:hint="eastAsia"/>
          <w:b/>
          <w:sz w:val="44"/>
          <w:szCs w:val="44"/>
        </w:rPr>
        <w:t xml:space="preserve">第五章  </w:t>
      </w:r>
      <w:r>
        <w:rPr>
          <w:rFonts w:cs="宋体"/>
          <w:b/>
          <w:sz w:val="44"/>
          <w:szCs w:val="44"/>
        </w:rPr>
        <w:t>技术要求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根据《中华人民共和国职业病防治法》和《工作场所职业卫生监督管理规定》的要求，2022年对</w:t>
      </w:r>
      <w:r>
        <w:rPr>
          <w:rFonts w:hint="eastAsia" w:ascii="宋体" w:hAnsi="宋体" w:eastAsia="宋体" w:cs="宋体"/>
          <w:sz w:val="24"/>
          <w:szCs w:val="24"/>
          <w:lang w:eastAsia="zh-CN"/>
        </w:rPr>
        <w:t>我公司</w:t>
      </w:r>
      <w:r>
        <w:rPr>
          <w:rFonts w:hint="eastAsia" w:ascii="宋体" w:hAnsi="宋体" w:eastAsia="宋体" w:cs="宋体"/>
          <w:sz w:val="24"/>
          <w:szCs w:val="24"/>
        </w:rPr>
        <w:t>作业场所进行一次年度检测和</w:t>
      </w:r>
      <w:r>
        <w:rPr>
          <w:rFonts w:hint="eastAsia" w:ascii="宋体" w:hAnsi="宋体" w:eastAsia="宋体" w:cs="宋体"/>
          <w:sz w:val="24"/>
          <w:szCs w:val="24"/>
          <w:lang w:eastAsia="zh-CN"/>
        </w:rPr>
        <w:t>三次</w:t>
      </w:r>
      <w:r>
        <w:rPr>
          <w:rFonts w:hint="eastAsia" w:ascii="宋体" w:hAnsi="宋体" w:eastAsia="宋体" w:cs="宋体"/>
          <w:sz w:val="24"/>
          <w:szCs w:val="24"/>
        </w:rPr>
        <w:t>季度日常检测工作，并取得相关工作结果报告书，需符合国家现行相关法律法规、政策和相应技术导则要求。</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一、项目基本概况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对（华云电厂、华云一厂、华云二厂、华云动力厂、华云</w:t>
      </w:r>
      <w:r>
        <w:rPr>
          <w:rFonts w:hint="eastAsia" w:asciiTheme="majorEastAsia" w:hAnsiTheme="majorEastAsia" w:eastAsiaTheme="majorEastAsia" w:cstheme="majorEastAsia"/>
          <w:sz w:val="24"/>
          <w:szCs w:val="24"/>
          <w:lang w:eastAsia="zh-CN"/>
        </w:rPr>
        <w:t>质检</w:t>
      </w:r>
      <w:r>
        <w:rPr>
          <w:rFonts w:hint="eastAsia" w:asciiTheme="majorEastAsia" w:hAnsiTheme="majorEastAsia" w:eastAsiaTheme="majorEastAsia" w:cstheme="majorEastAsia"/>
          <w:sz w:val="24"/>
          <w:szCs w:val="24"/>
        </w:rPr>
        <w:t>中心）共5个单位进行</w:t>
      </w:r>
      <w:r>
        <w:rPr>
          <w:rFonts w:hint="eastAsia" w:asciiTheme="majorEastAsia" w:hAnsiTheme="majorEastAsia" w:eastAsiaTheme="majorEastAsia" w:cstheme="majorEastAsia"/>
          <w:sz w:val="24"/>
          <w:szCs w:val="24"/>
          <w:lang w:eastAsia="zh-CN"/>
        </w:rPr>
        <w:t>一次</w:t>
      </w:r>
      <w:r>
        <w:rPr>
          <w:rFonts w:hint="eastAsia" w:asciiTheme="majorEastAsia" w:hAnsiTheme="majorEastAsia" w:eastAsiaTheme="majorEastAsia" w:cstheme="majorEastAsia"/>
          <w:sz w:val="24"/>
          <w:szCs w:val="24"/>
        </w:rPr>
        <w:t>职业病危害因素年度检测工作；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对（华云电厂、华云一厂、华云二厂）共</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个单位</w:t>
      </w:r>
      <w:r>
        <w:rPr>
          <w:rFonts w:hint="eastAsia" w:asciiTheme="majorEastAsia" w:hAnsiTheme="majorEastAsia" w:eastAsiaTheme="majorEastAsia" w:cstheme="majorEastAsia"/>
          <w:sz w:val="24"/>
          <w:szCs w:val="24"/>
          <w:lang w:val="en-US" w:eastAsia="zh-CN"/>
        </w:rPr>
        <w:t>产生</w:t>
      </w:r>
      <w:r>
        <w:rPr>
          <w:rFonts w:hint="eastAsia" w:asciiTheme="majorEastAsia" w:hAnsiTheme="majorEastAsia" w:eastAsiaTheme="majorEastAsia" w:cstheme="majorEastAsia"/>
          <w:sz w:val="24"/>
          <w:szCs w:val="24"/>
        </w:rPr>
        <w:t>职业病危害因素</w:t>
      </w:r>
      <w:r>
        <w:rPr>
          <w:rFonts w:hint="eastAsia" w:asciiTheme="majorEastAsia" w:hAnsiTheme="majorEastAsia" w:eastAsiaTheme="majorEastAsia" w:cstheme="majorEastAsia"/>
          <w:sz w:val="24"/>
          <w:szCs w:val="24"/>
          <w:lang w:val="en-US" w:eastAsia="zh-CN"/>
        </w:rPr>
        <w:t>重点</w:t>
      </w:r>
      <w:r>
        <w:rPr>
          <w:rFonts w:hint="eastAsia" w:asciiTheme="majorEastAsia" w:hAnsiTheme="majorEastAsia" w:eastAsiaTheme="majorEastAsia" w:cstheme="majorEastAsia"/>
          <w:sz w:val="24"/>
          <w:szCs w:val="24"/>
        </w:rPr>
        <w:t>工作场所</w:t>
      </w:r>
      <w:r>
        <w:rPr>
          <w:rFonts w:hint="eastAsia" w:asciiTheme="majorEastAsia" w:hAnsiTheme="majorEastAsia" w:eastAsiaTheme="majorEastAsia" w:cstheme="majorEastAsia"/>
          <w:sz w:val="24"/>
          <w:szCs w:val="24"/>
          <w:lang w:eastAsia="zh-CN"/>
        </w:rPr>
        <w:t>进行</w:t>
      </w:r>
      <w:r>
        <w:rPr>
          <w:rFonts w:hint="eastAsia" w:asciiTheme="majorEastAsia" w:hAnsiTheme="majorEastAsia" w:eastAsiaTheme="majorEastAsia" w:cstheme="majorEastAsia"/>
          <w:bCs/>
          <w:sz w:val="24"/>
          <w:szCs w:val="24"/>
        </w:rPr>
        <w:t>三次重点作业场所职业病危害因素的日常检测工作</w:t>
      </w:r>
      <w:r>
        <w:rPr>
          <w:rFonts w:hint="eastAsia" w:asciiTheme="majorEastAsia" w:hAnsiTheme="majorEastAsia" w:eastAsiaTheme="majorEastAsia" w:cstheme="majorEastAsia"/>
          <w:sz w:val="24"/>
          <w:szCs w:val="24"/>
        </w:rPr>
        <w:t>。</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二、供应商资质要求：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供应商为在中华人民共和国注册的独立法人资格的企业；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2、具有职业卫生技术服务机构资质证书乙级及乙级以上（业务范围包括冶金项目）、检验检测机构资质认定证书（提供营业执照复印件）；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近三年内至少完成一项同行业业绩（以合同为准）；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具有良好的商业信誉，没有处于被责令停业或破产状态，且资产未被重组、接管和冻结。</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三、工期</w:t>
      </w:r>
      <w:r>
        <w:rPr>
          <w:rFonts w:hint="eastAsia" w:ascii="宋体" w:hAnsi="宋体" w:eastAsia="宋体" w:cs="宋体"/>
          <w:b/>
          <w:bCs/>
          <w:sz w:val="24"/>
          <w:szCs w:val="24"/>
          <w:lang w:eastAsia="zh-CN"/>
        </w:rPr>
        <w:t>及检测</w:t>
      </w:r>
      <w:r>
        <w:rPr>
          <w:rFonts w:hint="eastAsia" w:ascii="宋体" w:hAnsi="宋体" w:eastAsia="宋体" w:cs="宋体"/>
          <w:b/>
          <w:bCs/>
          <w:sz w:val="24"/>
          <w:szCs w:val="24"/>
        </w:rPr>
        <w:t>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（1）合同签订后在每季度</w:t>
      </w:r>
      <w:r>
        <w:rPr>
          <w:rFonts w:hint="eastAsia" w:ascii="宋体" w:hAnsi="宋体" w:eastAsia="宋体" w:cs="宋体"/>
          <w:sz w:val="24"/>
          <w:szCs w:val="24"/>
          <w:lang w:eastAsia="zh-CN"/>
        </w:rPr>
        <w:t>末</w:t>
      </w:r>
      <w:r>
        <w:rPr>
          <w:rFonts w:hint="eastAsia" w:ascii="宋体" w:hAnsi="宋体" w:eastAsia="宋体" w:cs="宋体"/>
          <w:sz w:val="24"/>
          <w:szCs w:val="24"/>
        </w:rPr>
        <w:t>完成</w:t>
      </w:r>
      <w:r>
        <w:rPr>
          <w:rFonts w:hint="eastAsia" w:ascii="宋体" w:hAnsi="宋体" w:eastAsia="宋体" w:cs="宋体"/>
          <w:sz w:val="24"/>
          <w:szCs w:val="24"/>
          <w:lang w:eastAsia="zh-CN"/>
        </w:rPr>
        <w:t>本季度</w:t>
      </w:r>
      <w:r>
        <w:rPr>
          <w:rFonts w:hint="eastAsia" w:ascii="宋体" w:hAnsi="宋体" w:eastAsia="宋体" w:cs="宋体"/>
          <w:sz w:val="24"/>
          <w:szCs w:val="24"/>
        </w:rPr>
        <w:t>现场检测工作并出具检测结果报告书</w:t>
      </w:r>
      <w:r>
        <w:rPr>
          <w:rFonts w:hint="eastAsia" w:ascii="宋体" w:hAnsi="宋体" w:eastAsia="宋体" w:cs="宋体"/>
          <w:sz w:val="24"/>
          <w:szCs w:val="24"/>
          <w:lang w:eastAsia="zh-CN"/>
        </w:rPr>
        <w:t>。两项工作按季度开展，其中第二季度末开展</w:t>
      </w:r>
      <w:r>
        <w:rPr>
          <w:rFonts w:hint="eastAsia" w:ascii="宋体" w:hAnsi="宋体" w:eastAsia="宋体" w:cs="宋体"/>
          <w:color w:val="000000"/>
          <w:sz w:val="24"/>
          <w:szCs w:val="24"/>
        </w:rPr>
        <w:t>职业危害因素</w:t>
      </w:r>
      <w:r>
        <w:rPr>
          <w:rFonts w:hint="eastAsia" w:ascii="宋体" w:hAnsi="宋体" w:eastAsia="宋体" w:cs="宋体"/>
          <w:color w:val="000000"/>
          <w:sz w:val="24"/>
          <w:szCs w:val="24"/>
          <w:lang w:eastAsia="zh-CN"/>
        </w:rPr>
        <w:t>年度</w:t>
      </w:r>
      <w:r>
        <w:rPr>
          <w:rFonts w:hint="eastAsia" w:ascii="宋体" w:hAnsi="宋体" w:eastAsia="宋体" w:cs="宋体"/>
          <w:color w:val="000000"/>
          <w:sz w:val="24"/>
          <w:szCs w:val="24"/>
        </w:rPr>
        <w:t>检测工作</w:t>
      </w:r>
      <w:r>
        <w:rPr>
          <w:rFonts w:hint="eastAsia" w:ascii="宋体" w:hAnsi="宋体" w:eastAsia="宋体" w:cs="宋体"/>
          <w:color w:val="000000"/>
          <w:sz w:val="24"/>
          <w:szCs w:val="24"/>
          <w:lang w:eastAsia="zh-CN"/>
        </w:rPr>
        <w:t>，其他三个季度各进行一次</w:t>
      </w:r>
      <w:r>
        <w:rPr>
          <w:rFonts w:hint="eastAsia" w:ascii="宋体" w:hAnsi="宋体" w:eastAsia="宋体" w:cs="宋体"/>
          <w:sz w:val="24"/>
          <w:szCs w:val="24"/>
          <w:lang w:val="en-US" w:eastAsia="zh-CN"/>
        </w:rPr>
        <w:t>日常检测工作</w:t>
      </w:r>
      <w:r>
        <w:rPr>
          <w:rFonts w:hint="eastAsia" w:ascii="宋体" w:hAnsi="宋体" w:eastAsia="宋体" w:cs="宋体"/>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）严格按照《</w:t>
      </w:r>
      <w:r>
        <w:rPr>
          <w:rFonts w:hint="eastAsia" w:ascii="宋体" w:hAnsi="宋体" w:eastAsia="宋体" w:cs="宋体"/>
          <w:color w:val="000000"/>
          <w:kern w:val="0"/>
          <w:sz w:val="24"/>
          <w:szCs w:val="24"/>
          <w:lang w:val="en-US" w:eastAsia="zh-CN" w:bidi="ar"/>
        </w:rPr>
        <w:t>工作场所空气中有害物质监测的采样规范</w:t>
      </w:r>
      <w:r>
        <w:rPr>
          <w:rFonts w:hint="eastAsia" w:ascii="宋体" w:hAnsi="宋体" w:eastAsia="宋体" w:cs="宋体"/>
          <w:sz w:val="24"/>
          <w:szCs w:val="24"/>
          <w:lang w:eastAsia="zh-CN"/>
        </w:rPr>
        <w:t>》（</w:t>
      </w:r>
      <w:r>
        <w:rPr>
          <w:rFonts w:hint="eastAsia" w:ascii="宋体" w:hAnsi="宋体" w:eastAsia="宋体" w:cs="宋体"/>
          <w:color w:val="000000"/>
          <w:kern w:val="0"/>
          <w:sz w:val="24"/>
          <w:szCs w:val="24"/>
          <w:lang w:val="en-US" w:eastAsia="zh-CN" w:bidi="ar"/>
        </w:rPr>
        <w:t>GBZ 159－2004</w:t>
      </w:r>
      <w:r>
        <w:rPr>
          <w:rFonts w:hint="eastAsia" w:ascii="宋体" w:hAnsi="宋体" w:eastAsia="宋体" w:cs="宋体"/>
          <w:sz w:val="24"/>
          <w:szCs w:val="24"/>
          <w:lang w:eastAsia="zh-CN"/>
        </w:rPr>
        <w:t>）中布点和检测频次要求进行检测。</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报告书要求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）年度检测：合同签订后</w:t>
      </w:r>
      <w:r>
        <w:rPr>
          <w:rFonts w:hint="eastAsia" w:ascii="宋体" w:hAnsi="宋体" w:eastAsia="宋体" w:cs="宋体"/>
          <w:sz w:val="24"/>
          <w:szCs w:val="24"/>
          <w:lang w:eastAsia="zh-CN"/>
        </w:rPr>
        <w:t>按照合同约定</w:t>
      </w:r>
      <w:r>
        <w:rPr>
          <w:rFonts w:hint="eastAsia" w:ascii="宋体" w:hAnsi="宋体" w:eastAsia="宋体" w:cs="宋体"/>
          <w:sz w:val="24"/>
          <w:szCs w:val="24"/>
        </w:rPr>
        <w:t>完成现场检测工作，检测工作完成后</w:t>
      </w:r>
      <w:r>
        <w:rPr>
          <w:rFonts w:hint="eastAsia" w:ascii="宋体" w:hAnsi="宋体" w:eastAsia="宋体" w:cs="宋体"/>
          <w:sz w:val="24"/>
          <w:szCs w:val="24"/>
          <w:lang w:val="en-US" w:eastAsia="zh-CN"/>
        </w:rPr>
        <w:t>20</w:t>
      </w:r>
      <w:r>
        <w:rPr>
          <w:rFonts w:hint="eastAsia" w:ascii="宋体" w:hAnsi="宋体" w:eastAsia="宋体" w:cs="宋体"/>
          <w:sz w:val="24"/>
          <w:szCs w:val="24"/>
        </w:rPr>
        <w:t>个日历天出具检测评价报告书</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）日常检测：合同签订后</w:t>
      </w:r>
      <w:r>
        <w:rPr>
          <w:rFonts w:hint="eastAsia" w:ascii="宋体" w:hAnsi="宋体" w:eastAsia="宋体" w:cs="宋体"/>
          <w:sz w:val="24"/>
          <w:szCs w:val="24"/>
          <w:lang w:eastAsia="zh-CN"/>
        </w:rPr>
        <w:t>按照合同约定</w:t>
      </w:r>
      <w:r>
        <w:rPr>
          <w:rFonts w:hint="eastAsia" w:ascii="宋体" w:hAnsi="宋体" w:eastAsia="宋体" w:cs="宋体"/>
          <w:sz w:val="24"/>
          <w:szCs w:val="24"/>
        </w:rPr>
        <w:t>完成现场检测工作，</w:t>
      </w:r>
      <w:r>
        <w:rPr>
          <w:rFonts w:hint="eastAsia" w:ascii="宋体" w:hAnsi="宋体" w:eastAsia="宋体" w:cs="宋体"/>
          <w:sz w:val="24"/>
          <w:szCs w:val="24"/>
          <w:lang w:val="en-US" w:eastAsia="zh-CN"/>
        </w:rPr>
        <w:t>20</w:t>
      </w:r>
      <w:r>
        <w:rPr>
          <w:rFonts w:hint="eastAsia" w:ascii="宋体" w:hAnsi="宋体" w:eastAsia="宋体" w:cs="宋体"/>
          <w:sz w:val="24"/>
          <w:szCs w:val="24"/>
        </w:rPr>
        <w:t>个日历天出具检测评价报告书；</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五、付款方式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1、完成所有的检测工作，并出具相关检测报告书后，一次性付款；</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2、发票类型：6%增值税专用发票；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3、检测工作需按</w:t>
      </w:r>
      <w:r>
        <w:rPr>
          <w:rFonts w:hint="eastAsia" w:ascii="宋体" w:hAnsi="宋体" w:cs="宋体"/>
          <w:sz w:val="24"/>
          <w:szCs w:val="24"/>
          <w:lang w:eastAsia="zh-CN"/>
        </w:rPr>
        <w:t>内蒙古华云新材料</w:t>
      </w:r>
      <w:r>
        <w:rPr>
          <w:rFonts w:hint="eastAsia" w:ascii="宋体" w:hAnsi="宋体" w:eastAsia="宋体" w:cs="宋体"/>
          <w:sz w:val="24"/>
          <w:szCs w:val="24"/>
        </w:rPr>
        <w:t>要求格式及内容提供发生费用明细表。</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六、合同签订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与</w:t>
      </w:r>
      <w:r>
        <w:rPr>
          <w:rFonts w:hint="eastAsia" w:ascii="宋体" w:hAnsi="宋体" w:cs="宋体"/>
          <w:sz w:val="24"/>
          <w:szCs w:val="24"/>
          <w:lang w:eastAsia="zh-CN"/>
        </w:rPr>
        <w:t>内蒙古华云新材料有限公司</w:t>
      </w:r>
      <w:r>
        <w:rPr>
          <w:rFonts w:hint="eastAsia" w:ascii="宋体" w:hAnsi="宋体" w:eastAsia="宋体" w:cs="宋体"/>
          <w:sz w:val="24"/>
          <w:szCs w:val="24"/>
        </w:rPr>
        <w:t>签订合同书。</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七、报价范围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报价应包含与2022年年度及季度日常检测工作相关所需的全部费用。</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八、供应商应向包头铝业提交下述文件并遵守相关要求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1、进入现场的管理人员、技术人员和工人基本情况一览表；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2、在入厂前，按照</w:t>
      </w:r>
      <w:r>
        <w:rPr>
          <w:rFonts w:hint="eastAsia" w:ascii="宋体" w:hAnsi="宋体" w:cs="宋体"/>
          <w:sz w:val="24"/>
          <w:szCs w:val="24"/>
          <w:lang w:eastAsia="zh-CN"/>
        </w:rPr>
        <w:t>内蒙古华云新材料有限公司</w:t>
      </w:r>
      <w:r>
        <w:rPr>
          <w:rFonts w:hint="eastAsia" w:ascii="宋体" w:hAnsi="宋体" w:eastAsia="宋体" w:cs="宋体"/>
          <w:sz w:val="24"/>
          <w:szCs w:val="24"/>
        </w:rPr>
        <w:t>要求组织相关工作人员认真听取包头铝业安全管理人员的安全技术交底，经</w:t>
      </w:r>
      <w:r>
        <w:rPr>
          <w:rFonts w:hint="eastAsia" w:ascii="宋体" w:hAnsi="宋体" w:cs="宋体"/>
          <w:sz w:val="24"/>
          <w:szCs w:val="24"/>
          <w:lang w:eastAsia="zh-CN"/>
        </w:rPr>
        <w:t>内蒙古华云新材料有限公司</w:t>
      </w:r>
      <w:r>
        <w:rPr>
          <w:rFonts w:hint="eastAsia" w:ascii="宋体" w:hAnsi="宋体" w:eastAsia="宋体" w:cs="宋体"/>
          <w:sz w:val="24"/>
          <w:szCs w:val="24"/>
        </w:rPr>
        <w:t>安全管理人员审核批准后方可进入现场工作；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3、遵守</w:t>
      </w:r>
      <w:r>
        <w:rPr>
          <w:rFonts w:hint="eastAsia" w:ascii="宋体" w:hAnsi="宋体" w:cs="宋体"/>
          <w:sz w:val="24"/>
          <w:szCs w:val="24"/>
          <w:lang w:eastAsia="zh-CN"/>
        </w:rPr>
        <w:t>内蒙古华云新材料有限公司</w:t>
      </w:r>
      <w:r>
        <w:rPr>
          <w:rFonts w:hint="eastAsia" w:ascii="宋体" w:hAnsi="宋体" w:eastAsia="宋体" w:cs="宋体"/>
          <w:sz w:val="24"/>
          <w:szCs w:val="24"/>
        </w:rPr>
        <w:t>的各项管理考核制度；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4、将其在设备检测过程中发现的任何危险、隐患和缺陷及时通知包头铝业相关管理人员；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5、按时合同完成规定的所有评价评审和日常检测工作，保证质量、工期和安全；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6、负责为入场检测人员配备合格的劳动保护防护用品及安全工器具；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7、由于供应商方工作人员违反中铝公司和包头铝业有限公司有关安全工作的规定、规程，造成人员伤亡和设备设施损坏事故，责任完全由供应商方独立承担，造成的经济损失</w:t>
      </w:r>
      <w:r>
        <w:rPr>
          <w:rFonts w:hint="eastAsia" w:ascii="宋体" w:hAnsi="宋体" w:cs="宋体"/>
          <w:sz w:val="24"/>
          <w:szCs w:val="24"/>
          <w:lang w:eastAsia="zh-CN"/>
        </w:rPr>
        <w:t>内蒙古华云新材料有限公司</w:t>
      </w:r>
      <w:r>
        <w:rPr>
          <w:rFonts w:hint="eastAsia" w:ascii="宋体" w:hAnsi="宋体" w:eastAsia="宋体" w:cs="宋体"/>
          <w:sz w:val="24"/>
          <w:szCs w:val="24"/>
        </w:rPr>
        <w:t>可从应付给或将要付给供应商方的款项中扣回；</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8、现场文明生产要求；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9、在现场遵守</w:t>
      </w:r>
      <w:r>
        <w:rPr>
          <w:rFonts w:hint="eastAsia" w:ascii="宋体" w:hAnsi="宋体" w:cs="宋体"/>
          <w:sz w:val="24"/>
          <w:szCs w:val="24"/>
          <w:lang w:eastAsia="zh-CN"/>
        </w:rPr>
        <w:t>内蒙古华云新材料</w:t>
      </w:r>
      <w:r>
        <w:rPr>
          <w:rFonts w:hint="eastAsia" w:ascii="宋体" w:hAnsi="宋体" w:eastAsia="宋体" w:cs="宋体"/>
          <w:sz w:val="24"/>
          <w:szCs w:val="24"/>
        </w:rPr>
        <w:t>有关文明生产的文件、规定和考核办法；</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10、进入现场的工作人员着装统一；</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11、采取一切合理措施，保护现场及周围的环境；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12、采取一切合理的预防措施，以防止其员工发生任何违法的、妨害治安的行为，并维护治安和保护现场及附近的个人或财产免遭上述行为的破坏。</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九、现场、工序及危害因素方面</w:t>
      </w:r>
    </w:p>
    <w:p>
      <w:pPr>
        <w:pStyle w:val="145"/>
        <w:numPr>
          <w:ilvl w:val="0"/>
          <w:numId w:val="0"/>
        </w:numPr>
        <w:jc w:val="left"/>
        <w:rPr>
          <w:rFonts w:hint="eastAsia" w:ascii="黑体" w:hAnsi="黑体" w:eastAsia="黑体" w:cs="黑体"/>
          <w:b/>
          <w:bCs/>
          <w:sz w:val="30"/>
          <w:szCs w:val="30"/>
        </w:rPr>
      </w:pPr>
      <w:r>
        <w:rPr>
          <w:rFonts w:hint="eastAsia" w:ascii="黑体" w:hAnsi="黑体" w:eastAsia="黑体" w:cs="黑体"/>
          <w:b/>
          <w:bCs/>
          <w:sz w:val="30"/>
          <w:szCs w:val="30"/>
          <w:lang w:eastAsia="zh-CN"/>
        </w:rPr>
        <w:t>（一）</w:t>
      </w:r>
      <w:r>
        <w:rPr>
          <w:rFonts w:hint="eastAsia" w:ascii="黑体" w:hAnsi="黑体" w:eastAsia="黑体" w:cs="黑体"/>
          <w:b/>
          <w:bCs/>
          <w:sz w:val="30"/>
          <w:szCs w:val="30"/>
        </w:rPr>
        <w:t>年度作业场所职业病危害因素检测明细</w:t>
      </w:r>
    </w:p>
    <w:p>
      <w:pPr>
        <w:rPr>
          <w:rFonts w:ascii="宋体" w:hAnsi="宋体"/>
          <w:b/>
          <w:bCs/>
          <w:sz w:val="30"/>
          <w:szCs w:val="30"/>
        </w:rPr>
      </w:pPr>
      <w:r>
        <w:rPr>
          <w:rFonts w:hint="eastAsia" w:ascii="宋体" w:hAnsi="宋体"/>
          <w:b/>
          <w:bCs/>
          <w:sz w:val="30"/>
          <w:szCs w:val="30"/>
        </w:rPr>
        <w:t>1、华云电厂</w:t>
      </w:r>
    </w:p>
    <w:tbl>
      <w:tblPr>
        <w:tblStyle w:val="54"/>
        <w:tblW w:w="9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148"/>
        <w:gridCol w:w="1568"/>
        <w:gridCol w:w="5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1398" w:type="dxa"/>
            <w:noWrap w:val="0"/>
            <w:vAlign w:val="center"/>
          </w:tcPr>
          <w:p>
            <w:pPr>
              <w:rPr>
                <w:rFonts w:hint="eastAsia"/>
                <w:sz w:val="24"/>
                <w:szCs w:val="24"/>
              </w:rPr>
            </w:pPr>
            <w:r>
              <w:rPr>
                <w:rFonts w:hint="eastAsia"/>
                <w:sz w:val="24"/>
                <w:szCs w:val="24"/>
              </w:rPr>
              <w:t>评价单元</w:t>
            </w:r>
          </w:p>
        </w:tc>
        <w:tc>
          <w:tcPr>
            <w:tcW w:w="2716" w:type="dxa"/>
            <w:gridSpan w:val="2"/>
            <w:noWrap w:val="0"/>
            <w:vAlign w:val="center"/>
          </w:tcPr>
          <w:p>
            <w:pPr>
              <w:rPr>
                <w:rFonts w:hint="eastAsia"/>
                <w:sz w:val="24"/>
                <w:szCs w:val="24"/>
              </w:rPr>
            </w:pPr>
            <w:r>
              <w:rPr>
                <w:rFonts w:hint="eastAsia"/>
                <w:sz w:val="24"/>
                <w:szCs w:val="24"/>
              </w:rPr>
              <w:t>评价子单元</w:t>
            </w:r>
          </w:p>
        </w:tc>
        <w:tc>
          <w:tcPr>
            <w:tcW w:w="5300" w:type="dxa"/>
            <w:noWrap w:val="0"/>
            <w:vAlign w:val="center"/>
          </w:tcPr>
          <w:p>
            <w:pPr>
              <w:rPr>
                <w:rFonts w:hint="eastAsia"/>
                <w:sz w:val="24"/>
                <w:szCs w:val="24"/>
              </w:rPr>
            </w:pPr>
            <w:r>
              <w:rPr>
                <w:rFonts w:hint="eastAsia"/>
                <w:sz w:val="24"/>
                <w:szCs w:val="24"/>
              </w:rPr>
              <w:t>工序及存在的危害因素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exact"/>
          <w:jc w:val="center"/>
        </w:trPr>
        <w:tc>
          <w:tcPr>
            <w:tcW w:w="1398" w:type="dxa"/>
            <w:vMerge w:val="restart"/>
            <w:noWrap w:val="0"/>
            <w:vAlign w:val="center"/>
          </w:tcPr>
          <w:p>
            <w:pPr>
              <w:rPr>
                <w:rFonts w:hint="eastAsia"/>
                <w:sz w:val="24"/>
                <w:szCs w:val="24"/>
              </w:rPr>
            </w:pPr>
            <w:r>
              <w:rPr>
                <w:rFonts w:hint="eastAsia"/>
                <w:sz w:val="24"/>
                <w:szCs w:val="24"/>
              </w:rPr>
              <w:t>生产单元</w:t>
            </w:r>
          </w:p>
        </w:tc>
        <w:tc>
          <w:tcPr>
            <w:tcW w:w="2716" w:type="dxa"/>
            <w:gridSpan w:val="2"/>
            <w:noWrap w:val="0"/>
            <w:vAlign w:val="center"/>
          </w:tcPr>
          <w:p>
            <w:pPr>
              <w:rPr>
                <w:rFonts w:hint="eastAsia"/>
                <w:sz w:val="24"/>
                <w:szCs w:val="24"/>
              </w:rPr>
            </w:pPr>
            <w:r>
              <w:rPr>
                <w:rFonts w:hint="eastAsia"/>
                <w:sz w:val="24"/>
                <w:szCs w:val="24"/>
              </w:rPr>
              <w:t>输煤系统</w:t>
            </w:r>
          </w:p>
        </w:tc>
        <w:tc>
          <w:tcPr>
            <w:tcW w:w="5300"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卸煤、贮煤、输煤、远程控制</w:t>
            </w:r>
          </w:p>
          <w:p>
            <w:pPr>
              <w:rPr>
                <w:rFonts w:hint="eastAsia" w:ascii="宋体" w:hAnsi="宋体" w:eastAsia="宋体" w:cs="宋体"/>
                <w:color w:val="auto"/>
                <w:sz w:val="24"/>
                <w:szCs w:val="24"/>
              </w:rPr>
            </w:pPr>
            <w:r>
              <w:rPr>
                <w:rFonts w:hint="eastAsia" w:ascii="宋体" w:hAnsi="宋体" w:eastAsia="宋体" w:cs="宋体"/>
                <w:color w:val="auto"/>
                <w:sz w:val="24"/>
                <w:szCs w:val="24"/>
              </w:rPr>
              <w:t>危害因素：粉尘、噪声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jc w:val="center"/>
        </w:trPr>
        <w:tc>
          <w:tcPr>
            <w:tcW w:w="1398" w:type="dxa"/>
            <w:vMerge w:val="continue"/>
            <w:noWrap w:val="0"/>
            <w:vAlign w:val="center"/>
          </w:tcPr>
          <w:p>
            <w:pPr>
              <w:rPr>
                <w:rFonts w:hint="eastAsia"/>
                <w:sz w:val="24"/>
                <w:szCs w:val="24"/>
              </w:rPr>
            </w:pPr>
          </w:p>
        </w:tc>
        <w:tc>
          <w:tcPr>
            <w:tcW w:w="2716" w:type="dxa"/>
            <w:gridSpan w:val="2"/>
            <w:noWrap w:val="0"/>
            <w:vAlign w:val="center"/>
          </w:tcPr>
          <w:p>
            <w:pPr>
              <w:rPr>
                <w:rFonts w:hint="eastAsia"/>
                <w:sz w:val="24"/>
                <w:szCs w:val="24"/>
              </w:rPr>
            </w:pPr>
            <w:r>
              <w:rPr>
                <w:rFonts w:hint="eastAsia"/>
                <w:sz w:val="24"/>
                <w:szCs w:val="24"/>
              </w:rPr>
              <w:t>制粉及锅炉燃烧系统</w:t>
            </w:r>
          </w:p>
        </w:tc>
        <w:tc>
          <w:tcPr>
            <w:tcW w:w="5300"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煤粉制备、锅炉燃烧</w:t>
            </w:r>
          </w:p>
          <w:p>
            <w:pPr>
              <w:rPr>
                <w:rFonts w:hint="eastAsia" w:ascii="宋体" w:hAnsi="宋体" w:eastAsia="宋体" w:cs="宋体"/>
                <w:color w:val="auto"/>
                <w:sz w:val="24"/>
                <w:szCs w:val="24"/>
              </w:rPr>
            </w:pPr>
            <w:r>
              <w:rPr>
                <w:rFonts w:hint="eastAsia" w:ascii="宋体" w:hAnsi="宋体" w:eastAsia="宋体" w:cs="宋体"/>
                <w:color w:val="auto"/>
                <w:sz w:val="24"/>
                <w:szCs w:val="24"/>
              </w:rPr>
              <w:t>危害因素：粉尘、噪声、一氧化碳、氮氧化物、二氧化硫、高温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8" w:type="dxa"/>
            <w:vMerge w:val="continue"/>
            <w:noWrap w:val="0"/>
            <w:vAlign w:val="center"/>
          </w:tcPr>
          <w:p>
            <w:pPr>
              <w:rPr>
                <w:rFonts w:hint="eastAsia"/>
                <w:sz w:val="24"/>
                <w:szCs w:val="24"/>
              </w:rPr>
            </w:pPr>
          </w:p>
        </w:tc>
        <w:tc>
          <w:tcPr>
            <w:tcW w:w="2716" w:type="dxa"/>
            <w:gridSpan w:val="2"/>
            <w:noWrap w:val="0"/>
            <w:vAlign w:val="center"/>
          </w:tcPr>
          <w:p>
            <w:pPr>
              <w:rPr>
                <w:rFonts w:hint="eastAsia"/>
                <w:sz w:val="24"/>
                <w:szCs w:val="24"/>
              </w:rPr>
            </w:pPr>
            <w:r>
              <w:rPr>
                <w:rFonts w:hint="eastAsia"/>
                <w:sz w:val="24"/>
                <w:szCs w:val="24"/>
              </w:rPr>
              <w:t>汽轮机与发电及输变系统</w:t>
            </w:r>
          </w:p>
        </w:tc>
        <w:tc>
          <w:tcPr>
            <w:tcW w:w="5300"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汽轮机、给水系统、回热抽汽系统、凝结水系统、加热器疏水及放气系统、辅助蒸汽系统、冷却水系统、凝汽器抽真空系统润滑油净化、储存及排空系统、发电机、直流系统和不停电电源系统、继电保护及自动装置</w:t>
            </w:r>
          </w:p>
          <w:p>
            <w:pPr>
              <w:rPr>
                <w:rFonts w:hint="eastAsia" w:ascii="宋体" w:hAnsi="宋体" w:eastAsia="宋体" w:cs="宋体"/>
                <w:color w:val="auto"/>
                <w:sz w:val="24"/>
                <w:szCs w:val="24"/>
              </w:rPr>
            </w:pPr>
            <w:r>
              <w:rPr>
                <w:rFonts w:hint="eastAsia" w:ascii="宋体" w:hAnsi="宋体" w:eastAsia="宋体" w:cs="宋体"/>
                <w:color w:val="auto"/>
                <w:sz w:val="24"/>
                <w:szCs w:val="24"/>
              </w:rPr>
              <w:t>危害因素：噪声、工频电场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8" w:type="dxa"/>
            <w:vMerge w:val="restart"/>
            <w:noWrap w:val="0"/>
            <w:vAlign w:val="center"/>
          </w:tcPr>
          <w:p>
            <w:pPr>
              <w:rPr>
                <w:rFonts w:hint="eastAsia"/>
                <w:sz w:val="24"/>
                <w:szCs w:val="24"/>
              </w:rPr>
            </w:pPr>
            <w:r>
              <w:rPr>
                <w:rFonts w:hint="eastAsia"/>
                <w:sz w:val="24"/>
                <w:szCs w:val="24"/>
              </w:rPr>
              <w:t>辅助单元</w:t>
            </w:r>
          </w:p>
        </w:tc>
        <w:tc>
          <w:tcPr>
            <w:tcW w:w="2716" w:type="dxa"/>
            <w:gridSpan w:val="2"/>
            <w:noWrap w:val="0"/>
            <w:vAlign w:val="center"/>
          </w:tcPr>
          <w:p>
            <w:pPr>
              <w:rPr>
                <w:rFonts w:hint="eastAsia"/>
                <w:sz w:val="24"/>
                <w:szCs w:val="24"/>
              </w:rPr>
            </w:pPr>
            <w:r>
              <w:rPr>
                <w:rFonts w:hint="eastAsia"/>
                <w:sz w:val="24"/>
                <w:szCs w:val="24"/>
              </w:rPr>
              <w:t>化学水处理系统</w:t>
            </w:r>
          </w:p>
        </w:tc>
        <w:tc>
          <w:tcPr>
            <w:tcW w:w="5300"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锅炉补给水处理系统、凝结水精处理系统、化学加药系统、机组排水槽处理系统、中水深度处理系统、</w:t>
            </w:r>
          </w:p>
          <w:p>
            <w:pPr>
              <w:rPr>
                <w:rFonts w:hint="eastAsia" w:ascii="宋体" w:hAnsi="宋体" w:eastAsia="宋体" w:cs="宋体"/>
                <w:color w:val="auto"/>
                <w:sz w:val="24"/>
                <w:szCs w:val="24"/>
              </w:rPr>
            </w:pPr>
            <w:r>
              <w:rPr>
                <w:rFonts w:hint="eastAsia" w:ascii="宋体" w:hAnsi="宋体" w:eastAsia="宋体" w:cs="宋体"/>
                <w:color w:val="auto"/>
                <w:sz w:val="24"/>
                <w:szCs w:val="24"/>
              </w:rPr>
              <w:t>危害因素：盐酸、氢氧化钠、硫化氢、氨、联氨、硫酸、噪声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398" w:type="dxa"/>
            <w:vMerge w:val="continue"/>
            <w:noWrap w:val="0"/>
            <w:vAlign w:val="center"/>
          </w:tcPr>
          <w:p>
            <w:pPr>
              <w:rPr>
                <w:rFonts w:hint="eastAsia"/>
                <w:sz w:val="24"/>
                <w:szCs w:val="24"/>
              </w:rPr>
            </w:pPr>
          </w:p>
        </w:tc>
        <w:tc>
          <w:tcPr>
            <w:tcW w:w="1148" w:type="dxa"/>
            <w:vMerge w:val="restart"/>
            <w:noWrap w:val="0"/>
            <w:vAlign w:val="center"/>
          </w:tcPr>
          <w:p>
            <w:pPr>
              <w:rPr>
                <w:rFonts w:hint="eastAsia"/>
                <w:sz w:val="24"/>
                <w:szCs w:val="24"/>
              </w:rPr>
            </w:pPr>
            <w:r>
              <w:rPr>
                <w:rFonts w:hint="eastAsia"/>
                <w:sz w:val="24"/>
                <w:szCs w:val="24"/>
              </w:rPr>
              <w:t>除脱系统</w:t>
            </w:r>
          </w:p>
        </w:tc>
        <w:tc>
          <w:tcPr>
            <w:tcW w:w="1568" w:type="dxa"/>
            <w:noWrap w:val="0"/>
            <w:vAlign w:val="center"/>
          </w:tcPr>
          <w:p>
            <w:pPr>
              <w:rPr>
                <w:rFonts w:hint="eastAsia"/>
                <w:sz w:val="24"/>
                <w:szCs w:val="24"/>
              </w:rPr>
            </w:pPr>
            <w:r>
              <w:rPr>
                <w:rFonts w:hint="eastAsia"/>
                <w:sz w:val="24"/>
                <w:szCs w:val="24"/>
              </w:rPr>
              <w:t>除灰渣系统</w:t>
            </w:r>
          </w:p>
        </w:tc>
        <w:tc>
          <w:tcPr>
            <w:tcW w:w="5300"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除灰系统、除渣系统</w:t>
            </w:r>
          </w:p>
          <w:p>
            <w:pPr>
              <w:rPr>
                <w:rFonts w:hint="eastAsia" w:ascii="宋体" w:hAnsi="宋体" w:eastAsia="宋体" w:cs="宋体"/>
                <w:color w:val="auto"/>
                <w:sz w:val="24"/>
                <w:szCs w:val="24"/>
              </w:rPr>
            </w:pPr>
            <w:r>
              <w:rPr>
                <w:rFonts w:hint="eastAsia" w:ascii="宋体" w:hAnsi="宋体" w:eastAsia="宋体" w:cs="宋体"/>
                <w:color w:val="auto"/>
                <w:sz w:val="24"/>
                <w:szCs w:val="24"/>
              </w:rPr>
              <w:t>危害因素：粉尘、噪声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jc w:val="center"/>
        </w:trPr>
        <w:tc>
          <w:tcPr>
            <w:tcW w:w="1398" w:type="dxa"/>
            <w:vMerge w:val="continue"/>
            <w:noWrap w:val="0"/>
            <w:vAlign w:val="center"/>
          </w:tcPr>
          <w:p>
            <w:pPr>
              <w:rPr>
                <w:rFonts w:hint="eastAsia"/>
                <w:sz w:val="24"/>
                <w:szCs w:val="24"/>
              </w:rPr>
            </w:pPr>
          </w:p>
        </w:tc>
        <w:tc>
          <w:tcPr>
            <w:tcW w:w="1148" w:type="dxa"/>
            <w:vMerge w:val="continue"/>
            <w:noWrap w:val="0"/>
            <w:vAlign w:val="center"/>
          </w:tcPr>
          <w:p>
            <w:pPr>
              <w:rPr>
                <w:rFonts w:hint="eastAsia"/>
                <w:sz w:val="24"/>
                <w:szCs w:val="24"/>
              </w:rPr>
            </w:pPr>
          </w:p>
        </w:tc>
        <w:tc>
          <w:tcPr>
            <w:tcW w:w="1568" w:type="dxa"/>
            <w:noWrap w:val="0"/>
            <w:vAlign w:val="center"/>
          </w:tcPr>
          <w:p>
            <w:pPr>
              <w:rPr>
                <w:rFonts w:hint="eastAsia"/>
                <w:sz w:val="24"/>
                <w:szCs w:val="24"/>
              </w:rPr>
            </w:pPr>
            <w:r>
              <w:rPr>
                <w:rFonts w:hint="eastAsia"/>
                <w:sz w:val="24"/>
                <w:szCs w:val="24"/>
              </w:rPr>
              <w:t>烟气脱硝系统</w:t>
            </w:r>
          </w:p>
        </w:tc>
        <w:tc>
          <w:tcPr>
            <w:tcW w:w="5300"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脱硝装置</w:t>
            </w:r>
          </w:p>
          <w:p>
            <w:pPr>
              <w:rPr>
                <w:rFonts w:hint="eastAsia" w:ascii="宋体" w:hAnsi="宋体" w:eastAsia="宋体" w:cs="宋体"/>
                <w:color w:val="auto"/>
                <w:sz w:val="24"/>
                <w:szCs w:val="24"/>
              </w:rPr>
            </w:pPr>
            <w:r>
              <w:rPr>
                <w:rFonts w:hint="eastAsia" w:ascii="宋体" w:hAnsi="宋体" w:eastAsia="宋体" w:cs="宋体"/>
                <w:color w:val="auto"/>
                <w:sz w:val="24"/>
                <w:szCs w:val="24"/>
              </w:rPr>
              <w:t>危害因素：氨、噪声、高温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jc w:val="center"/>
        </w:trPr>
        <w:tc>
          <w:tcPr>
            <w:tcW w:w="1398" w:type="dxa"/>
            <w:vMerge w:val="continue"/>
            <w:noWrap w:val="0"/>
            <w:vAlign w:val="center"/>
          </w:tcPr>
          <w:p>
            <w:pPr>
              <w:rPr>
                <w:rFonts w:hint="eastAsia"/>
                <w:sz w:val="24"/>
                <w:szCs w:val="24"/>
              </w:rPr>
            </w:pPr>
          </w:p>
        </w:tc>
        <w:tc>
          <w:tcPr>
            <w:tcW w:w="1148" w:type="dxa"/>
            <w:vMerge w:val="continue"/>
            <w:noWrap w:val="0"/>
            <w:vAlign w:val="center"/>
          </w:tcPr>
          <w:p>
            <w:pPr>
              <w:rPr>
                <w:rFonts w:hint="eastAsia"/>
                <w:sz w:val="24"/>
                <w:szCs w:val="24"/>
              </w:rPr>
            </w:pPr>
          </w:p>
        </w:tc>
        <w:tc>
          <w:tcPr>
            <w:tcW w:w="1568" w:type="dxa"/>
            <w:noWrap w:val="0"/>
            <w:vAlign w:val="center"/>
          </w:tcPr>
          <w:p>
            <w:pPr>
              <w:rPr>
                <w:rFonts w:hint="eastAsia"/>
                <w:sz w:val="24"/>
                <w:szCs w:val="24"/>
              </w:rPr>
            </w:pPr>
            <w:r>
              <w:rPr>
                <w:rFonts w:hint="eastAsia"/>
                <w:sz w:val="24"/>
                <w:szCs w:val="24"/>
              </w:rPr>
              <w:t>烟气脱硫系统</w:t>
            </w:r>
          </w:p>
        </w:tc>
        <w:tc>
          <w:tcPr>
            <w:tcW w:w="5300"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石灰石-石膏湿法脱硫系统、脱硫塔</w:t>
            </w:r>
          </w:p>
          <w:p>
            <w:pPr>
              <w:rPr>
                <w:rFonts w:hint="eastAsia" w:ascii="宋体" w:hAnsi="宋体" w:eastAsia="宋体" w:cs="宋体"/>
                <w:color w:val="auto"/>
                <w:sz w:val="24"/>
                <w:szCs w:val="24"/>
              </w:rPr>
            </w:pPr>
            <w:r>
              <w:rPr>
                <w:rFonts w:hint="eastAsia" w:ascii="宋体" w:hAnsi="宋体" w:eastAsia="宋体" w:cs="宋体"/>
                <w:color w:val="auto"/>
                <w:sz w:val="24"/>
                <w:szCs w:val="24"/>
              </w:rPr>
              <w:t>危害因素：</w:t>
            </w:r>
            <w:r>
              <w:rPr>
                <w:rFonts w:hint="eastAsia" w:ascii="宋体" w:hAnsi="宋体" w:eastAsia="宋体" w:cs="仿宋_GB2312"/>
                <w:color w:val="auto"/>
                <w:sz w:val="24"/>
                <w:szCs w:val="24"/>
              </w:rPr>
              <w:t>粉尘、噪声、</w:t>
            </w:r>
            <w:r>
              <w:rPr>
                <w:rFonts w:hint="eastAsia" w:ascii="宋体" w:hAnsi="宋体" w:eastAsia="宋体" w:cs="仿宋_GB2312"/>
                <w:color w:val="auto"/>
                <w:sz w:val="24"/>
                <w:szCs w:val="24"/>
                <w:lang w:eastAsia="zh-CN"/>
              </w:rPr>
              <w:t>石灰石粉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1398" w:type="dxa"/>
            <w:vMerge w:val="continue"/>
            <w:noWrap w:val="0"/>
            <w:vAlign w:val="center"/>
          </w:tcPr>
          <w:p>
            <w:pPr>
              <w:rPr>
                <w:rFonts w:hint="eastAsia"/>
                <w:sz w:val="24"/>
                <w:szCs w:val="24"/>
              </w:rPr>
            </w:pPr>
          </w:p>
        </w:tc>
        <w:tc>
          <w:tcPr>
            <w:tcW w:w="2716" w:type="dxa"/>
            <w:gridSpan w:val="2"/>
            <w:noWrap w:val="0"/>
            <w:vAlign w:val="center"/>
          </w:tcPr>
          <w:p>
            <w:pPr>
              <w:rPr>
                <w:rFonts w:hint="eastAsia"/>
                <w:sz w:val="24"/>
                <w:szCs w:val="24"/>
              </w:rPr>
            </w:pPr>
            <w:r>
              <w:rPr>
                <w:rFonts w:hint="eastAsia"/>
                <w:sz w:val="24"/>
                <w:szCs w:val="24"/>
              </w:rPr>
              <w:t>自动化控制系统</w:t>
            </w:r>
          </w:p>
        </w:tc>
        <w:tc>
          <w:tcPr>
            <w:tcW w:w="5300"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DCS系统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398" w:type="dxa"/>
            <w:vMerge w:val="continue"/>
            <w:noWrap w:val="0"/>
            <w:vAlign w:val="center"/>
          </w:tcPr>
          <w:p>
            <w:pPr>
              <w:rPr>
                <w:rFonts w:hint="eastAsia"/>
                <w:sz w:val="24"/>
                <w:szCs w:val="24"/>
              </w:rPr>
            </w:pPr>
          </w:p>
        </w:tc>
        <w:tc>
          <w:tcPr>
            <w:tcW w:w="2716" w:type="dxa"/>
            <w:gridSpan w:val="2"/>
            <w:noWrap w:val="0"/>
            <w:vAlign w:val="center"/>
          </w:tcPr>
          <w:p>
            <w:pPr>
              <w:rPr>
                <w:rFonts w:hint="eastAsia"/>
                <w:sz w:val="24"/>
                <w:szCs w:val="24"/>
              </w:rPr>
            </w:pPr>
            <w:r>
              <w:rPr>
                <w:rFonts w:hint="eastAsia"/>
                <w:sz w:val="24"/>
                <w:szCs w:val="24"/>
              </w:rPr>
              <w:t>检维修</w:t>
            </w:r>
          </w:p>
        </w:tc>
        <w:tc>
          <w:tcPr>
            <w:tcW w:w="5300"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工人在对锅炉、汽机等设备维修</w:t>
            </w:r>
          </w:p>
          <w:p>
            <w:pPr>
              <w:rPr>
                <w:rFonts w:hint="eastAsia" w:ascii="宋体" w:hAnsi="宋体" w:eastAsia="宋体" w:cs="宋体"/>
                <w:color w:val="auto"/>
                <w:sz w:val="24"/>
                <w:szCs w:val="24"/>
              </w:rPr>
            </w:pPr>
            <w:r>
              <w:rPr>
                <w:rFonts w:hint="eastAsia" w:ascii="宋体" w:hAnsi="宋体" w:eastAsia="宋体" w:cs="宋体"/>
                <w:color w:val="auto"/>
                <w:sz w:val="24"/>
                <w:szCs w:val="24"/>
              </w:rPr>
              <w:t>危害因素：电焊烟尘、锰及其化合物、氮氧化物、二氧化硫、噪声、高温、一氧化碳、紫外辐射、粉尘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398" w:type="dxa"/>
            <w:vMerge w:val="restart"/>
            <w:noWrap w:val="0"/>
            <w:vAlign w:val="center"/>
          </w:tcPr>
          <w:p>
            <w:pPr>
              <w:rPr>
                <w:rFonts w:hint="eastAsia"/>
                <w:sz w:val="24"/>
                <w:szCs w:val="24"/>
              </w:rPr>
            </w:pPr>
            <w:r>
              <w:rPr>
                <w:rFonts w:hint="eastAsia"/>
                <w:sz w:val="24"/>
                <w:szCs w:val="24"/>
              </w:rPr>
              <w:t>公用单元</w:t>
            </w:r>
          </w:p>
        </w:tc>
        <w:tc>
          <w:tcPr>
            <w:tcW w:w="2716" w:type="dxa"/>
            <w:gridSpan w:val="2"/>
            <w:noWrap w:val="0"/>
            <w:vAlign w:val="center"/>
          </w:tcPr>
          <w:p>
            <w:pPr>
              <w:rPr>
                <w:rFonts w:hint="eastAsia"/>
                <w:sz w:val="24"/>
                <w:szCs w:val="24"/>
              </w:rPr>
            </w:pPr>
            <w:r>
              <w:rPr>
                <w:rFonts w:hint="eastAsia"/>
                <w:sz w:val="24"/>
                <w:szCs w:val="24"/>
              </w:rPr>
              <w:t>给水</w:t>
            </w:r>
          </w:p>
        </w:tc>
        <w:tc>
          <w:tcPr>
            <w:tcW w:w="5300"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生活给水、生产给水</w:t>
            </w:r>
          </w:p>
          <w:p>
            <w:pPr>
              <w:rPr>
                <w:rFonts w:hint="eastAsia" w:ascii="宋体" w:hAnsi="宋体" w:eastAsia="宋体" w:cs="宋体"/>
                <w:color w:val="auto"/>
                <w:sz w:val="24"/>
                <w:szCs w:val="24"/>
              </w:rPr>
            </w:pPr>
            <w:r>
              <w:rPr>
                <w:rFonts w:hint="eastAsia" w:ascii="宋体" w:hAnsi="宋体" w:eastAsia="宋体" w:cs="宋体"/>
                <w:color w:val="auto"/>
                <w:sz w:val="24"/>
                <w:szCs w:val="24"/>
              </w:rPr>
              <w:t>危害因素：噪声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398" w:type="dxa"/>
            <w:vMerge w:val="continue"/>
            <w:noWrap w:val="0"/>
            <w:vAlign w:val="center"/>
          </w:tcPr>
          <w:p>
            <w:pPr>
              <w:rPr>
                <w:rFonts w:hint="eastAsia"/>
                <w:sz w:val="24"/>
                <w:szCs w:val="24"/>
              </w:rPr>
            </w:pPr>
          </w:p>
        </w:tc>
        <w:tc>
          <w:tcPr>
            <w:tcW w:w="2716" w:type="dxa"/>
            <w:gridSpan w:val="2"/>
            <w:noWrap w:val="0"/>
            <w:vAlign w:val="center"/>
          </w:tcPr>
          <w:p>
            <w:pPr>
              <w:rPr>
                <w:rFonts w:hint="eastAsia"/>
                <w:sz w:val="24"/>
                <w:szCs w:val="24"/>
              </w:rPr>
            </w:pPr>
            <w:r>
              <w:rPr>
                <w:rFonts w:hint="eastAsia"/>
                <w:sz w:val="24"/>
                <w:szCs w:val="24"/>
              </w:rPr>
              <w:t>排水</w:t>
            </w:r>
          </w:p>
        </w:tc>
        <w:tc>
          <w:tcPr>
            <w:tcW w:w="5300" w:type="dxa"/>
            <w:noWrap w:val="0"/>
            <w:vAlign w:val="center"/>
          </w:tcPr>
          <w:p>
            <w:pPr>
              <w:rPr>
                <w:rFonts w:hint="eastAsia"/>
                <w:sz w:val="24"/>
                <w:szCs w:val="24"/>
              </w:rPr>
            </w:pPr>
            <w:r>
              <w:rPr>
                <w:rFonts w:hint="eastAsia"/>
                <w:sz w:val="24"/>
                <w:szCs w:val="24"/>
              </w:rPr>
              <w:t>生活排水、生产排水、雨水排放</w:t>
            </w:r>
          </w:p>
        </w:tc>
      </w:tr>
    </w:tbl>
    <w:p>
      <w:pPr>
        <w:jc w:val="left"/>
        <w:outlineLvl w:val="0"/>
        <w:rPr>
          <w:rFonts w:ascii="宋体" w:hAnsi="宋体"/>
          <w:b/>
          <w:bCs/>
          <w:sz w:val="30"/>
          <w:szCs w:val="30"/>
        </w:rPr>
      </w:pPr>
      <w:r>
        <w:rPr>
          <w:rFonts w:hint="eastAsia" w:ascii="宋体" w:hAnsi="宋体"/>
          <w:b/>
          <w:bCs/>
          <w:sz w:val="30"/>
          <w:szCs w:val="30"/>
        </w:rPr>
        <w:t>2、华云一厂、华云动力厂</w:t>
      </w:r>
    </w:p>
    <w:tbl>
      <w:tblPr>
        <w:tblStyle w:val="54"/>
        <w:tblW w:w="5090" w:type="pct"/>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31"/>
        <w:gridCol w:w="1468"/>
        <w:gridCol w:w="5811"/>
        <w:gridCol w:w="7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blHeader/>
        </w:trPr>
        <w:tc>
          <w:tcPr>
            <w:tcW w:w="521" w:type="pct"/>
            <w:noWrap w:val="0"/>
            <w:vAlign w:val="center"/>
          </w:tcPr>
          <w:p>
            <w:pPr>
              <w:rPr>
                <w:rFonts w:hint="eastAsia"/>
                <w:sz w:val="24"/>
                <w:szCs w:val="24"/>
              </w:rPr>
            </w:pPr>
            <w:bookmarkStart w:id="27" w:name="_Hlk96758170"/>
            <w:r>
              <w:rPr>
                <w:rFonts w:hint="eastAsia"/>
                <w:w w:val="95"/>
                <w:sz w:val="24"/>
                <w:szCs w:val="24"/>
              </w:rPr>
              <w:t>评价单元</w:t>
            </w:r>
          </w:p>
        </w:tc>
        <w:tc>
          <w:tcPr>
            <w:tcW w:w="822" w:type="pct"/>
            <w:noWrap w:val="0"/>
            <w:vAlign w:val="center"/>
          </w:tcPr>
          <w:p>
            <w:pPr>
              <w:rPr>
                <w:rFonts w:hint="eastAsia"/>
                <w:sz w:val="24"/>
                <w:szCs w:val="24"/>
              </w:rPr>
            </w:pPr>
            <w:r>
              <w:rPr>
                <w:rFonts w:hint="eastAsia"/>
                <w:w w:val="95"/>
                <w:sz w:val="24"/>
                <w:szCs w:val="24"/>
              </w:rPr>
              <w:t>评价子单元</w:t>
            </w:r>
          </w:p>
        </w:tc>
        <w:tc>
          <w:tcPr>
            <w:tcW w:w="3253" w:type="pct"/>
            <w:noWrap w:val="0"/>
            <w:vAlign w:val="center"/>
          </w:tcPr>
          <w:p>
            <w:pPr>
              <w:rPr>
                <w:rFonts w:hint="eastAsia"/>
                <w:sz w:val="24"/>
                <w:szCs w:val="24"/>
              </w:rPr>
            </w:pPr>
            <w:r>
              <w:rPr>
                <w:rFonts w:hint="eastAsia"/>
                <w:sz w:val="24"/>
                <w:szCs w:val="24"/>
              </w:rPr>
              <w:t>工序及存在的危害因素</w:t>
            </w:r>
          </w:p>
        </w:tc>
        <w:tc>
          <w:tcPr>
            <w:tcW w:w="402" w:type="pct"/>
            <w:noWrap w:val="0"/>
            <w:vAlign w:val="center"/>
          </w:tcPr>
          <w:p>
            <w:pPr>
              <w:rPr>
                <w:rFonts w:hint="eastAsia"/>
                <w:w w:val="95"/>
                <w:sz w:val="24"/>
                <w:szCs w:val="24"/>
              </w:rPr>
            </w:pPr>
            <w:r>
              <w:rPr>
                <w:rFonts w:hint="eastAsia"/>
                <w:w w:val="95"/>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521" w:type="pct"/>
            <w:vMerge w:val="restart"/>
            <w:noWrap w:val="0"/>
            <w:vAlign w:val="center"/>
          </w:tcPr>
          <w:p>
            <w:pPr>
              <w:rPr>
                <w:rFonts w:hint="eastAsia"/>
                <w:sz w:val="24"/>
                <w:szCs w:val="24"/>
              </w:rPr>
            </w:pPr>
            <w:r>
              <w:rPr>
                <w:rFonts w:hint="eastAsia"/>
                <w:sz w:val="24"/>
                <w:szCs w:val="24"/>
              </w:rPr>
              <w:t>生产单元</w:t>
            </w:r>
          </w:p>
        </w:tc>
        <w:tc>
          <w:tcPr>
            <w:tcW w:w="822" w:type="pct"/>
            <w:noWrap w:val="0"/>
            <w:vAlign w:val="center"/>
          </w:tcPr>
          <w:p>
            <w:pPr>
              <w:rPr>
                <w:rFonts w:hint="eastAsia"/>
                <w:sz w:val="24"/>
                <w:szCs w:val="24"/>
              </w:rPr>
            </w:pPr>
            <w:r>
              <w:rPr>
                <w:rFonts w:hint="eastAsia"/>
                <w:sz w:val="24"/>
                <w:szCs w:val="24"/>
              </w:rPr>
              <w:t>电解铝车间</w:t>
            </w:r>
          </w:p>
        </w:tc>
        <w:tc>
          <w:tcPr>
            <w:tcW w:w="3253" w:type="pct"/>
            <w:noWrap w:val="0"/>
            <w:vAlign w:val="center"/>
          </w:tcPr>
          <w:p>
            <w:pPr>
              <w:rPr>
                <w:rFonts w:hint="eastAsia"/>
                <w:sz w:val="24"/>
                <w:szCs w:val="24"/>
              </w:rPr>
            </w:pPr>
            <w:r>
              <w:rPr>
                <w:rFonts w:hint="eastAsia"/>
                <w:sz w:val="24"/>
                <w:szCs w:val="24"/>
              </w:rPr>
              <w:t>厂房的建设及 342 台 SY500 预焙阳极电解槽、电解多功能机组、真空抬包、下料系统等设备</w:t>
            </w:r>
          </w:p>
          <w:p>
            <w:pPr>
              <w:rPr>
                <w:rFonts w:hint="eastAsia"/>
                <w:sz w:val="24"/>
                <w:szCs w:val="24"/>
              </w:rPr>
            </w:pPr>
            <w:r>
              <w:rPr>
                <w:rFonts w:hint="eastAsia"/>
                <w:sz w:val="24"/>
                <w:szCs w:val="24"/>
              </w:rPr>
              <w:t>危害因素：</w:t>
            </w:r>
            <w:r>
              <w:rPr>
                <w:rStyle w:val="90"/>
                <w:rFonts w:hint="eastAsia" w:ascii="宋体" w:hAnsi="宋体"/>
                <w:sz w:val="24"/>
                <w:szCs w:val="24"/>
              </w:rPr>
              <w:t>危害因素：高温、粉尘、噪声、氟化物、</w:t>
            </w:r>
            <w:r>
              <w:rPr>
                <w:rStyle w:val="90"/>
                <w:rFonts w:hint="eastAsia" w:ascii="宋体" w:hAnsi="宋体"/>
                <w:sz w:val="24"/>
                <w:szCs w:val="24"/>
                <w:lang w:eastAsia="zh-CN"/>
              </w:rPr>
              <w:t>二氧化硫、一氧化碳、</w:t>
            </w:r>
            <w:r>
              <w:rPr>
                <w:rStyle w:val="90"/>
                <w:rFonts w:hint="eastAsia" w:ascii="宋体" w:hAnsi="宋体"/>
                <w:sz w:val="24"/>
                <w:szCs w:val="24"/>
              </w:rPr>
              <w:t>电磁场</w:t>
            </w:r>
          </w:p>
        </w:tc>
        <w:tc>
          <w:tcPr>
            <w:tcW w:w="402" w:type="pct"/>
            <w:noWrap w:val="0"/>
            <w:vAlign w:val="center"/>
          </w:tcPr>
          <w:p>
            <w:pPr>
              <w:rPr>
                <w:rFonts w:hint="eastAsia"/>
                <w:w w:val="95"/>
                <w:sz w:val="24"/>
                <w:szCs w:val="24"/>
              </w:rPr>
            </w:pPr>
            <w:r>
              <w:rPr>
                <w:rFonts w:hint="eastAsia"/>
                <w:w w:val="9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trPr>
        <w:tc>
          <w:tcPr>
            <w:tcW w:w="521" w:type="pct"/>
            <w:vMerge w:val="continue"/>
            <w:tcBorders>
              <w:top w:val="nil"/>
            </w:tcBorders>
            <w:noWrap w:val="0"/>
            <w:vAlign w:val="center"/>
          </w:tcPr>
          <w:p>
            <w:pPr>
              <w:rPr>
                <w:rFonts w:hint="eastAsia"/>
                <w:sz w:val="24"/>
                <w:szCs w:val="24"/>
              </w:rPr>
            </w:pPr>
          </w:p>
        </w:tc>
        <w:tc>
          <w:tcPr>
            <w:tcW w:w="822" w:type="pct"/>
            <w:noWrap w:val="0"/>
            <w:vAlign w:val="center"/>
          </w:tcPr>
          <w:p>
            <w:pPr>
              <w:rPr>
                <w:rFonts w:hint="eastAsia"/>
                <w:sz w:val="24"/>
                <w:szCs w:val="24"/>
              </w:rPr>
            </w:pPr>
            <w:r>
              <w:rPr>
                <w:rFonts w:hint="eastAsia"/>
                <w:sz w:val="24"/>
                <w:szCs w:val="24"/>
              </w:rPr>
              <w:t>铸造车间</w:t>
            </w:r>
          </w:p>
        </w:tc>
        <w:tc>
          <w:tcPr>
            <w:tcW w:w="3253" w:type="pct"/>
            <w:noWrap w:val="0"/>
            <w:vAlign w:val="center"/>
          </w:tcPr>
          <w:p>
            <w:pPr>
              <w:rPr>
                <w:rFonts w:hint="eastAsia"/>
                <w:sz w:val="24"/>
                <w:szCs w:val="24"/>
              </w:rPr>
            </w:pPr>
            <w:r>
              <w:rPr>
                <w:rFonts w:hint="eastAsia"/>
                <w:sz w:val="24"/>
                <w:szCs w:val="24"/>
              </w:rPr>
              <w:t>厂房的建设及混合炉、铝锭连续铸造机、扒渣车等设备</w:t>
            </w:r>
          </w:p>
          <w:p>
            <w:pPr>
              <w:rPr>
                <w:rFonts w:hint="eastAsia" w:eastAsia="宋体"/>
                <w:sz w:val="24"/>
                <w:szCs w:val="24"/>
                <w:lang w:eastAsia="zh-CN"/>
              </w:rPr>
            </w:pPr>
            <w:r>
              <w:rPr>
                <w:rFonts w:hint="eastAsia"/>
                <w:sz w:val="24"/>
                <w:szCs w:val="24"/>
              </w:rPr>
              <w:t>危害因素：粉尘、高温、噪声</w:t>
            </w:r>
            <w:r>
              <w:rPr>
                <w:rFonts w:hint="eastAsia"/>
                <w:sz w:val="24"/>
                <w:szCs w:val="24"/>
                <w:lang w:eastAsia="zh-CN"/>
              </w:rPr>
              <w:t>、一氧化碳</w:t>
            </w:r>
          </w:p>
        </w:tc>
        <w:tc>
          <w:tcPr>
            <w:tcW w:w="402" w:type="pct"/>
            <w:noWrap w:val="0"/>
            <w:vAlign w:val="center"/>
          </w:tcPr>
          <w:p>
            <w:pPr>
              <w:rPr>
                <w:rFonts w:hint="eastAsia"/>
                <w:w w:val="95"/>
                <w:sz w:val="24"/>
                <w:szCs w:val="24"/>
              </w:rPr>
            </w:pPr>
            <w:r>
              <w:rPr>
                <w:rFonts w:hint="eastAsia"/>
                <w:w w:val="9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521" w:type="pct"/>
            <w:vMerge w:val="continue"/>
            <w:tcBorders>
              <w:top w:val="nil"/>
            </w:tcBorders>
            <w:noWrap w:val="0"/>
            <w:vAlign w:val="center"/>
          </w:tcPr>
          <w:p>
            <w:pPr>
              <w:rPr>
                <w:rFonts w:hint="eastAsia"/>
                <w:sz w:val="24"/>
                <w:szCs w:val="24"/>
              </w:rPr>
            </w:pPr>
          </w:p>
        </w:tc>
        <w:tc>
          <w:tcPr>
            <w:tcW w:w="822" w:type="pct"/>
            <w:noWrap w:val="0"/>
            <w:vAlign w:val="center"/>
          </w:tcPr>
          <w:p>
            <w:pPr>
              <w:rPr>
                <w:rFonts w:hint="eastAsia"/>
                <w:sz w:val="24"/>
                <w:szCs w:val="24"/>
              </w:rPr>
            </w:pPr>
            <w:r>
              <w:rPr>
                <w:rFonts w:hint="eastAsia"/>
                <w:sz w:val="24"/>
                <w:szCs w:val="24"/>
              </w:rPr>
              <w:t>组装车间</w:t>
            </w:r>
          </w:p>
        </w:tc>
        <w:tc>
          <w:tcPr>
            <w:tcW w:w="3253" w:type="pct"/>
            <w:noWrap w:val="0"/>
            <w:vAlign w:val="center"/>
          </w:tcPr>
          <w:p>
            <w:pPr>
              <w:rPr>
                <w:rFonts w:hint="eastAsia"/>
                <w:sz w:val="24"/>
                <w:szCs w:val="24"/>
              </w:rPr>
            </w:pPr>
            <w:r>
              <w:rPr>
                <w:rFonts w:hint="eastAsia"/>
                <w:sz w:val="24"/>
                <w:szCs w:val="24"/>
              </w:rPr>
              <w:t>厂房的建设及 3t 中频炉、电解质清理机、残极清理滚筒系统、残极压脱机等设备。</w:t>
            </w:r>
          </w:p>
          <w:p>
            <w:pPr>
              <w:rPr>
                <w:rFonts w:hint="eastAsia" w:eastAsia="宋体"/>
                <w:sz w:val="24"/>
                <w:szCs w:val="24"/>
                <w:lang w:eastAsia="zh-CN"/>
              </w:rPr>
            </w:pPr>
            <w:r>
              <w:rPr>
                <w:rFonts w:hint="eastAsia"/>
                <w:sz w:val="24"/>
                <w:szCs w:val="24"/>
              </w:rPr>
              <w:t>危害因素：噪声、高温、粉尘</w:t>
            </w:r>
          </w:p>
        </w:tc>
        <w:tc>
          <w:tcPr>
            <w:tcW w:w="402" w:type="pct"/>
            <w:noWrap w:val="0"/>
            <w:vAlign w:val="center"/>
          </w:tcPr>
          <w:p>
            <w:pPr>
              <w:rPr>
                <w:rFonts w:hint="eastAsia"/>
                <w:w w:val="95"/>
                <w:sz w:val="24"/>
                <w:szCs w:val="24"/>
              </w:rPr>
            </w:pPr>
            <w:r>
              <w:rPr>
                <w:rFonts w:hint="eastAsia"/>
                <w:w w:val="9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trPr>
        <w:tc>
          <w:tcPr>
            <w:tcW w:w="521" w:type="pct"/>
            <w:vMerge w:val="continue"/>
            <w:tcBorders>
              <w:top w:val="nil"/>
            </w:tcBorders>
            <w:noWrap w:val="0"/>
            <w:vAlign w:val="center"/>
          </w:tcPr>
          <w:p>
            <w:pPr>
              <w:rPr>
                <w:rFonts w:hint="eastAsia"/>
                <w:sz w:val="24"/>
                <w:szCs w:val="24"/>
              </w:rPr>
            </w:pPr>
          </w:p>
        </w:tc>
        <w:tc>
          <w:tcPr>
            <w:tcW w:w="822" w:type="pct"/>
            <w:noWrap w:val="0"/>
            <w:vAlign w:val="center"/>
          </w:tcPr>
          <w:p>
            <w:pPr>
              <w:rPr>
                <w:rFonts w:hint="eastAsia"/>
                <w:sz w:val="24"/>
                <w:szCs w:val="24"/>
              </w:rPr>
            </w:pPr>
            <w:r>
              <w:rPr>
                <w:rFonts w:hint="eastAsia"/>
                <w:sz w:val="24"/>
                <w:szCs w:val="24"/>
              </w:rPr>
              <w:t>烟气净化系统</w:t>
            </w:r>
          </w:p>
        </w:tc>
        <w:tc>
          <w:tcPr>
            <w:tcW w:w="3253" w:type="pct"/>
            <w:noWrap w:val="0"/>
            <w:vAlign w:val="center"/>
          </w:tcPr>
          <w:p>
            <w:pPr>
              <w:rPr>
                <w:rFonts w:hint="eastAsia"/>
                <w:sz w:val="24"/>
                <w:szCs w:val="24"/>
              </w:rPr>
            </w:pPr>
            <w:r>
              <w:rPr>
                <w:rFonts w:hint="eastAsia"/>
                <w:sz w:val="24"/>
                <w:szCs w:val="24"/>
              </w:rPr>
              <w:t>厂房的建设及新鲜氧化铝仓、载氟氧化铝仓、主排烟风机、脉冲布袋除尘器、提升机、高压离心风机；半干法脱硫系统等设备。</w:t>
            </w:r>
          </w:p>
          <w:p>
            <w:pPr>
              <w:rPr>
                <w:rFonts w:hint="eastAsia" w:eastAsia="宋体"/>
                <w:sz w:val="24"/>
                <w:szCs w:val="24"/>
                <w:lang w:eastAsia="zh-CN"/>
              </w:rPr>
            </w:pPr>
            <w:r>
              <w:rPr>
                <w:rFonts w:hint="eastAsia"/>
                <w:sz w:val="24"/>
                <w:szCs w:val="24"/>
              </w:rPr>
              <w:t>危害因素：</w:t>
            </w:r>
            <w:r>
              <w:rPr>
                <w:rFonts w:hint="eastAsia" w:ascii="宋体" w:hAnsi="宋体"/>
                <w:sz w:val="24"/>
                <w:szCs w:val="24"/>
              </w:rPr>
              <w:t>氟化物、</w:t>
            </w:r>
            <w:r>
              <w:rPr>
                <w:rFonts w:hint="eastAsia" w:ascii="宋体" w:hAnsi="宋体"/>
                <w:sz w:val="24"/>
                <w:szCs w:val="24"/>
                <w:lang w:eastAsia="zh-CN"/>
              </w:rPr>
              <w:t>二氧化硫、</w:t>
            </w:r>
            <w:r>
              <w:rPr>
                <w:rFonts w:hint="eastAsia" w:ascii="宋体" w:hAnsi="宋体"/>
                <w:sz w:val="24"/>
                <w:szCs w:val="24"/>
              </w:rPr>
              <w:t>粉尘、高温、噪声</w:t>
            </w:r>
            <w:r>
              <w:rPr>
                <w:rFonts w:hint="eastAsia" w:ascii="宋体" w:hAnsi="宋体"/>
                <w:sz w:val="24"/>
                <w:szCs w:val="24"/>
                <w:lang w:eastAsia="zh-CN"/>
              </w:rPr>
              <w:t>、</w:t>
            </w:r>
            <w:r>
              <w:rPr>
                <w:rStyle w:val="90"/>
                <w:rFonts w:hint="eastAsia" w:ascii="宋体" w:hAnsi="宋体"/>
                <w:sz w:val="24"/>
                <w:szCs w:val="24"/>
                <w:lang w:eastAsia="zh-CN"/>
              </w:rPr>
              <w:t>一氧化碳</w:t>
            </w:r>
          </w:p>
        </w:tc>
        <w:tc>
          <w:tcPr>
            <w:tcW w:w="402" w:type="pct"/>
            <w:noWrap w:val="0"/>
            <w:vAlign w:val="center"/>
          </w:tcPr>
          <w:p>
            <w:pPr>
              <w:rPr>
                <w:rFonts w:hint="eastAsia"/>
                <w:w w:val="95"/>
                <w:sz w:val="24"/>
                <w:szCs w:val="24"/>
              </w:rPr>
            </w:pPr>
            <w:r>
              <w:rPr>
                <w:rFonts w:hint="eastAsia"/>
                <w:w w:val="9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521" w:type="pct"/>
            <w:vMerge w:val="restart"/>
            <w:noWrap w:val="0"/>
            <w:vAlign w:val="center"/>
          </w:tcPr>
          <w:p>
            <w:pPr>
              <w:rPr>
                <w:rFonts w:hint="eastAsia"/>
                <w:sz w:val="24"/>
                <w:szCs w:val="24"/>
              </w:rPr>
            </w:pPr>
            <w:r>
              <w:rPr>
                <w:rFonts w:hint="eastAsia"/>
                <w:sz w:val="24"/>
                <w:szCs w:val="24"/>
              </w:rPr>
              <w:t>辅助单元</w:t>
            </w:r>
          </w:p>
        </w:tc>
        <w:tc>
          <w:tcPr>
            <w:tcW w:w="822" w:type="pct"/>
            <w:noWrap w:val="0"/>
            <w:vAlign w:val="center"/>
          </w:tcPr>
          <w:p>
            <w:pPr>
              <w:rPr>
                <w:rFonts w:hint="eastAsia"/>
                <w:sz w:val="24"/>
                <w:szCs w:val="24"/>
              </w:rPr>
            </w:pPr>
            <w:r>
              <w:rPr>
                <w:rFonts w:hint="eastAsia"/>
                <w:sz w:val="24"/>
                <w:szCs w:val="24"/>
              </w:rPr>
              <w:t>冷却循环水系统</w:t>
            </w:r>
          </w:p>
        </w:tc>
        <w:tc>
          <w:tcPr>
            <w:tcW w:w="3253" w:type="pct"/>
            <w:noWrap w:val="0"/>
            <w:vAlign w:val="center"/>
          </w:tcPr>
          <w:p>
            <w:pPr>
              <w:rPr>
                <w:rFonts w:hint="eastAsia"/>
                <w:sz w:val="24"/>
                <w:szCs w:val="24"/>
              </w:rPr>
            </w:pPr>
            <w:r>
              <w:rPr>
                <w:rFonts w:hint="eastAsia"/>
                <w:sz w:val="24"/>
                <w:szCs w:val="24"/>
              </w:rPr>
              <w:t>冷却塔、水泵、管网等</w:t>
            </w:r>
          </w:p>
          <w:p>
            <w:pPr>
              <w:rPr>
                <w:rFonts w:hint="eastAsia"/>
                <w:sz w:val="24"/>
                <w:szCs w:val="24"/>
              </w:rPr>
            </w:pPr>
            <w:r>
              <w:rPr>
                <w:rFonts w:hint="eastAsia"/>
                <w:sz w:val="24"/>
                <w:szCs w:val="24"/>
              </w:rPr>
              <w:t>危害因素：噪声</w:t>
            </w:r>
          </w:p>
        </w:tc>
        <w:tc>
          <w:tcPr>
            <w:tcW w:w="402" w:type="pct"/>
            <w:noWrap w:val="0"/>
            <w:vAlign w:val="center"/>
          </w:tcPr>
          <w:p>
            <w:pPr>
              <w:rPr>
                <w:rFonts w:hint="eastAsia"/>
                <w:w w:val="9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521" w:type="pct"/>
            <w:vMerge w:val="continue"/>
            <w:noWrap w:val="0"/>
            <w:vAlign w:val="center"/>
          </w:tcPr>
          <w:p>
            <w:pPr>
              <w:rPr>
                <w:rFonts w:hint="eastAsia"/>
                <w:sz w:val="24"/>
                <w:szCs w:val="24"/>
              </w:rPr>
            </w:pPr>
          </w:p>
        </w:tc>
        <w:tc>
          <w:tcPr>
            <w:tcW w:w="822" w:type="pct"/>
            <w:noWrap w:val="0"/>
            <w:vAlign w:val="center"/>
          </w:tcPr>
          <w:p>
            <w:pPr>
              <w:rPr>
                <w:rFonts w:hint="eastAsia"/>
                <w:sz w:val="24"/>
                <w:szCs w:val="24"/>
              </w:rPr>
            </w:pPr>
            <w:r>
              <w:rPr>
                <w:rFonts w:hint="eastAsia"/>
                <w:sz w:val="24"/>
                <w:szCs w:val="24"/>
              </w:rPr>
              <w:t>空压站</w:t>
            </w:r>
          </w:p>
        </w:tc>
        <w:tc>
          <w:tcPr>
            <w:tcW w:w="3253" w:type="pct"/>
            <w:noWrap w:val="0"/>
            <w:vAlign w:val="center"/>
          </w:tcPr>
          <w:p>
            <w:pPr>
              <w:rPr>
                <w:rFonts w:hint="eastAsia"/>
                <w:sz w:val="24"/>
                <w:szCs w:val="24"/>
              </w:rPr>
            </w:pPr>
            <w:r>
              <w:rPr>
                <w:rFonts w:hint="eastAsia"/>
                <w:sz w:val="24"/>
                <w:szCs w:val="24"/>
              </w:rPr>
              <w:t>空压机、储气罐</w:t>
            </w:r>
          </w:p>
          <w:p>
            <w:pPr>
              <w:rPr>
                <w:rFonts w:hint="eastAsia"/>
                <w:sz w:val="24"/>
                <w:szCs w:val="24"/>
              </w:rPr>
            </w:pPr>
            <w:r>
              <w:rPr>
                <w:rFonts w:hint="eastAsia"/>
                <w:sz w:val="24"/>
                <w:szCs w:val="24"/>
              </w:rPr>
              <w:t>危害因素：噪声</w:t>
            </w:r>
          </w:p>
        </w:tc>
        <w:tc>
          <w:tcPr>
            <w:tcW w:w="402" w:type="pct"/>
            <w:noWrap w:val="0"/>
            <w:vAlign w:val="center"/>
          </w:tcPr>
          <w:p>
            <w:pP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1" w:type="pct"/>
            <w:vMerge w:val="continue"/>
            <w:noWrap w:val="0"/>
            <w:vAlign w:val="center"/>
          </w:tcPr>
          <w:p>
            <w:pPr>
              <w:rPr>
                <w:rFonts w:hint="eastAsia"/>
                <w:sz w:val="24"/>
                <w:szCs w:val="24"/>
              </w:rPr>
            </w:pPr>
          </w:p>
        </w:tc>
        <w:tc>
          <w:tcPr>
            <w:tcW w:w="822" w:type="pct"/>
            <w:noWrap w:val="0"/>
            <w:vAlign w:val="center"/>
          </w:tcPr>
          <w:p>
            <w:pPr>
              <w:rPr>
                <w:rFonts w:hint="eastAsia"/>
                <w:color w:val="auto"/>
                <w:sz w:val="24"/>
                <w:szCs w:val="24"/>
              </w:rPr>
            </w:pPr>
            <w:r>
              <w:rPr>
                <w:rFonts w:hint="eastAsia"/>
                <w:color w:val="auto"/>
                <w:kern w:val="0"/>
                <w:sz w:val="24"/>
                <w:szCs w:val="24"/>
              </w:rPr>
              <w:t>清包车间</w:t>
            </w:r>
          </w:p>
        </w:tc>
        <w:tc>
          <w:tcPr>
            <w:tcW w:w="3253" w:type="pct"/>
            <w:noWrap w:val="0"/>
            <w:vAlign w:val="center"/>
          </w:tcPr>
          <w:p>
            <w:pPr>
              <w:rPr>
                <w:rFonts w:hint="eastAsia"/>
                <w:color w:val="auto"/>
                <w:kern w:val="0"/>
                <w:sz w:val="24"/>
                <w:szCs w:val="24"/>
              </w:rPr>
            </w:pPr>
            <w:r>
              <w:rPr>
                <w:rFonts w:hint="eastAsia"/>
                <w:color w:val="auto"/>
                <w:kern w:val="0"/>
                <w:sz w:val="24"/>
                <w:szCs w:val="24"/>
              </w:rPr>
              <w:t>厂房建设及抬包清理机、切砖机、风镐、吸铝管清理机等设备</w:t>
            </w:r>
          </w:p>
          <w:p>
            <w:pPr>
              <w:rPr>
                <w:rFonts w:hint="eastAsia"/>
                <w:color w:val="auto"/>
                <w:sz w:val="24"/>
                <w:szCs w:val="24"/>
              </w:rPr>
            </w:pPr>
            <w:r>
              <w:rPr>
                <w:rFonts w:hint="eastAsia"/>
                <w:color w:val="auto"/>
                <w:kern w:val="0"/>
                <w:sz w:val="24"/>
                <w:szCs w:val="24"/>
              </w:rPr>
              <w:t>危害因素：粉尘、噪声、手传振动。</w:t>
            </w:r>
          </w:p>
        </w:tc>
        <w:tc>
          <w:tcPr>
            <w:tcW w:w="402" w:type="pct"/>
            <w:noWrap w:val="0"/>
            <w:vAlign w:val="center"/>
          </w:tcPr>
          <w:p>
            <w:pPr>
              <w:jc w:val="cente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1" w:type="pct"/>
            <w:vMerge w:val="continue"/>
            <w:noWrap w:val="0"/>
            <w:vAlign w:val="center"/>
          </w:tcPr>
          <w:p>
            <w:pPr>
              <w:rPr>
                <w:rFonts w:hint="eastAsia"/>
                <w:sz w:val="24"/>
                <w:szCs w:val="24"/>
              </w:rPr>
            </w:pPr>
          </w:p>
        </w:tc>
        <w:tc>
          <w:tcPr>
            <w:tcW w:w="822" w:type="pct"/>
            <w:noWrap w:val="0"/>
            <w:vAlign w:val="center"/>
          </w:tcPr>
          <w:p>
            <w:pPr>
              <w:rPr>
                <w:rFonts w:hint="eastAsia"/>
                <w:sz w:val="24"/>
                <w:szCs w:val="24"/>
              </w:rPr>
            </w:pPr>
            <w:r>
              <w:rPr>
                <w:rFonts w:hint="eastAsia"/>
                <w:sz w:val="24"/>
                <w:szCs w:val="24"/>
              </w:rPr>
              <w:t>检维修</w:t>
            </w:r>
          </w:p>
        </w:tc>
        <w:tc>
          <w:tcPr>
            <w:tcW w:w="3253" w:type="pct"/>
            <w:noWrap w:val="0"/>
            <w:vAlign w:val="center"/>
          </w:tcPr>
          <w:p>
            <w:pPr>
              <w:rPr>
                <w:rFonts w:hint="eastAsia"/>
                <w:sz w:val="24"/>
                <w:szCs w:val="24"/>
              </w:rPr>
            </w:pPr>
            <w:r>
              <w:rPr>
                <w:rFonts w:hint="eastAsia"/>
                <w:sz w:val="24"/>
                <w:szCs w:val="24"/>
              </w:rPr>
              <w:t>厂区各车间设备日常维护和检修</w:t>
            </w:r>
          </w:p>
          <w:p>
            <w:pPr>
              <w:rPr>
                <w:rFonts w:hint="eastAsia"/>
                <w:sz w:val="24"/>
                <w:szCs w:val="24"/>
              </w:rPr>
            </w:pPr>
            <w:r>
              <w:rPr>
                <w:rFonts w:hint="eastAsia"/>
                <w:sz w:val="24"/>
                <w:szCs w:val="24"/>
              </w:rPr>
              <w:t>危害因素：电焊烟尘、锰及其化合物、紫外辐射</w:t>
            </w:r>
          </w:p>
        </w:tc>
        <w:tc>
          <w:tcPr>
            <w:tcW w:w="402" w:type="pct"/>
            <w:noWrap w:val="0"/>
            <w:vAlign w:val="center"/>
          </w:tcPr>
          <w:p>
            <w:pPr>
              <w:jc w:val="center"/>
              <w:rPr>
                <w:rFonts w:hint="eastAsia"/>
                <w:w w:val="95"/>
                <w:sz w:val="24"/>
                <w:szCs w:val="24"/>
              </w:rPr>
            </w:pPr>
            <w:r>
              <w:rPr>
                <w:rFonts w:hint="eastAsia"/>
                <w:w w:val="9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1" w:type="pct"/>
            <w:vMerge w:val="continue"/>
            <w:noWrap w:val="0"/>
            <w:vAlign w:val="center"/>
          </w:tcPr>
          <w:p>
            <w:pPr>
              <w:rPr>
                <w:rFonts w:hint="eastAsia"/>
                <w:sz w:val="24"/>
                <w:szCs w:val="24"/>
              </w:rPr>
            </w:pPr>
          </w:p>
        </w:tc>
        <w:tc>
          <w:tcPr>
            <w:tcW w:w="822" w:type="pct"/>
            <w:noWrap w:val="0"/>
            <w:vAlign w:val="center"/>
          </w:tcPr>
          <w:p>
            <w:pPr>
              <w:rPr>
                <w:rFonts w:hint="eastAsia"/>
                <w:sz w:val="24"/>
                <w:szCs w:val="24"/>
              </w:rPr>
            </w:pPr>
            <w:r>
              <w:rPr>
                <w:rFonts w:hint="eastAsia"/>
                <w:sz w:val="24"/>
                <w:szCs w:val="24"/>
              </w:rPr>
              <w:t>视屏监控系统</w:t>
            </w:r>
          </w:p>
        </w:tc>
        <w:tc>
          <w:tcPr>
            <w:tcW w:w="3253" w:type="pct"/>
            <w:noWrap w:val="0"/>
            <w:vAlign w:val="center"/>
          </w:tcPr>
          <w:p>
            <w:pPr>
              <w:rPr>
                <w:rFonts w:hint="eastAsia"/>
                <w:sz w:val="24"/>
                <w:szCs w:val="24"/>
              </w:rPr>
            </w:pPr>
            <w:r>
              <w:rPr>
                <w:rFonts w:hint="eastAsia"/>
                <w:sz w:val="24"/>
                <w:szCs w:val="24"/>
              </w:rPr>
              <w:t>在电解烟气净化脱硫系统设置视频监控系统</w:t>
            </w:r>
          </w:p>
        </w:tc>
        <w:tc>
          <w:tcPr>
            <w:tcW w:w="402" w:type="pct"/>
            <w:noWrap w:val="0"/>
            <w:vAlign w:val="center"/>
          </w:tcPr>
          <w:p>
            <w:pPr>
              <w:jc w:val="cente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521" w:type="pct"/>
            <w:vMerge w:val="restart"/>
            <w:noWrap w:val="0"/>
            <w:vAlign w:val="center"/>
          </w:tcPr>
          <w:p>
            <w:pPr>
              <w:rPr>
                <w:rFonts w:hint="eastAsia"/>
                <w:sz w:val="24"/>
                <w:szCs w:val="24"/>
              </w:rPr>
            </w:pPr>
            <w:r>
              <w:rPr>
                <w:rFonts w:hint="eastAsia"/>
                <w:sz w:val="24"/>
                <w:szCs w:val="24"/>
              </w:rPr>
              <w:t>公用单元</w:t>
            </w:r>
          </w:p>
        </w:tc>
        <w:tc>
          <w:tcPr>
            <w:tcW w:w="822" w:type="pct"/>
            <w:noWrap w:val="0"/>
            <w:vAlign w:val="center"/>
          </w:tcPr>
          <w:p>
            <w:pPr>
              <w:rPr>
                <w:rFonts w:hint="eastAsia"/>
                <w:sz w:val="24"/>
                <w:szCs w:val="24"/>
              </w:rPr>
            </w:pPr>
            <w:r>
              <w:rPr>
                <w:rFonts w:hint="eastAsia"/>
                <w:sz w:val="24"/>
                <w:szCs w:val="24"/>
              </w:rPr>
              <w:t>给水</w:t>
            </w:r>
          </w:p>
        </w:tc>
        <w:tc>
          <w:tcPr>
            <w:tcW w:w="3253" w:type="pct"/>
            <w:noWrap w:val="0"/>
            <w:vAlign w:val="center"/>
          </w:tcPr>
          <w:p>
            <w:pPr>
              <w:rPr>
                <w:rFonts w:hint="eastAsia" w:eastAsia="宋体"/>
                <w:sz w:val="24"/>
                <w:szCs w:val="24"/>
                <w:lang w:eastAsia="zh-CN"/>
              </w:rPr>
            </w:pPr>
            <w:r>
              <w:rPr>
                <w:rFonts w:hint="eastAsia"/>
                <w:sz w:val="24"/>
                <w:szCs w:val="24"/>
                <w:lang w:eastAsia="zh-CN"/>
              </w:rPr>
              <w:t>自来水</w:t>
            </w:r>
            <w:r>
              <w:rPr>
                <w:rFonts w:hint="eastAsia"/>
                <w:sz w:val="24"/>
                <w:szCs w:val="24"/>
              </w:rPr>
              <w:t>给水管网</w:t>
            </w:r>
            <w:r>
              <w:rPr>
                <w:rFonts w:hint="eastAsia"/>
                <w:sz w:val="24"/>
                <w:szCs w:val="24"/>
                <w:lang w:eastAsia="zh-CN"/>
              </w:rPr>
              <w:t>供水</w:t>
            </w:r>
          </w:p>
        </w:tc>
        <w:tc>
          <w:tcPr>
            <w:tcW w:w="402" w:type="pct"/>
            <w:noWrap w:val="0"/>
            <w:vAlign w:val="center"/>
          </w:tcPr>
          <w:p>
            <w:pPr>
              <w:jc w:val="cente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1" w:type="pct"/>
            <w:vMerge w:val="continue"/>
            <w:noWrap w:val="0"/>
            <w:vAlign w:val="center"/>
          </w:tcPr>
          <w:p>
            <w:pPr>
              <w:rPr>
                <w:rFonts w:hint="eastAsia"/>
                <w:sz w:val="24"/>
                <w:szCs w:val="24"/>
              </w:rPr>
            </w:pPr>
          </w:p>
        </w:tc>
        <w:tc>
          <w:tcPr>
            <w:tcW w:w="822" w:type="pct"/>
            <w:noWrap w:val="0"/>
            <w:vAlign w:val="center"/>
          </w:tcPr>
          <w:p>
            <w:pPr>
              <w:rPr>
                <w:rFonts w:hint="eastAsia"/>
                <w:sz w:val="24"/>
                <w:szCs w:val="24"/>
              </w:rPr>
            </w:pPr>
            <w:r>
              <w:rPr>
                <w:rFonts w:hint="eastAsia"/>
                <w:sz w:val="24"/>
                <w:szCs w:val="24"/>
              </w:rPr>
              <w:t>排水</w:t>
            </w:r>
          </w:p>
        </w:tc>
        <w:tc>
          <w:tcPr>
            <w:tcW w:w="3253" w:type="pct"/>
            <w:noWrap w:val="0"/>
            <w:vAlign w:val="center"/>
          </w:tcPr>
          <w:p>
            <w:pPr>
              <w:rPr>
                <w:rFonts w:hint="eastAsia" w:eastAsia="宋体"/>
                <w:sz w:val="24"/>
                <w:szCs w:val="24"/>
                <w:lang w:eastAsia="zh-CN"/>
              </w:rPr>
            </w:pPr>
            <w:r>
              <w:rPr>
                <w:rFonts w:hint="eastAsia"/>
                <w:sz w:val="24"/>
                <w:szCs w:val="24"/>
              </w:rPr>
              <w:t>污水排入炭素厂厂区污水处理站处理</w:t>
            </w:r>
            <w:r>
              <w:rPr>
                <w:rFonts w:hint="eastAsia"/>
                <w:sz w:val="24"/>
                <w:szCs w:val="24"/>
                <w:lang w:eastAsia="zh-CN"/>
              </w:rPr>
              <w:t>后回用</w:t>
            </w:r>
          </w:p>
        </w:tc>
        <w:tc>
          <w:tcPr>
            <w:tcW w:w="402" w:type="pct"/>
            <w:noWrap w:val="0"/>
            <w:vAlign w:val="center"/>
          </w:tcPr>
          <w:p>
            <w:pPr>
              <w:jc w:val="cente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1" w:type="pct"/>
            <w:vMerge w:val="continue"/>
            <w:noWrap w:val="0"/>
            <w:vAlign w:val="center"/>
          </w:tcPr>
          <w:p>
            <w:pPr>
              <w:rPr>
                <w:rFonts w:hint="eastAsia"/>
                <w:sz w:val="24"/>
                <w:szCs w:val="24"/>
              </w:rPr>
            </w:pPr>
          </w:p>
        </w:tc>
        <w:tc>
          <w:tcPr>
            <w:tcW w:w="822" w:type="pct"/>
            <w:noWrap w:val="0"/>
            <w:vAlign w:val="center"/>
          </w:tcPr>
          <w:p>
            <w:pPr>
              <w:rPr>
                <w:rFonts w:hint="eastAsia"/>
                <w:sz w:val="24"/>
                <w:szCs w:val="24"/>
              </w:rPr>
            </w:pPr>
            <w:r>
              <w:rPr>
                <w:rFonts w:hint="eastAsia"/>
                <w:sz w:val="24"/>
                <w:szCs w:val="24"/>
              </w:rPr>
              <w:t>供电</w:t>
            </w:r>
          </w:p>
        </w:tc>
        <w:tc>
          <w:tcPr>
            <w:tcW w:w="3253" w:type="pct"/>
            <w:noWrap w:val="0"/>
            <w:vAlign w:val="center"/>
          </w:tcPr>
          <w:p>
            <w:pPr>
              <w:rPr>
                <w:rFonts w:hint="eastAsia"/>
                <w:sz w:val="24"/>
                <w:szCs w:val="24"/>
              </w:rPr>
            </w:pPr>
            <w:r>
              <w:rPr>
                <w:rFonts w:hint="eastAsia"/>
                <w:sz w:val="24"/>
                <w:szCs w:val="24"/>
              </w:rPr>
              <w:t>华云动力厂5所配电室、供电管网</w:t>
            </w:r>
          </w:p>
          <w:p>
            <w:pPr>
              <w:rPr>
                <w:rFonts w:hint="eastAsia"/>
                <w:sz w:val="24"/>
                <w:szCs w:val="24"/>
              </w:rPr>
            </w:pPr>
            <w:r>
              <w:rPr>
                <w:rFonts w:hint="eastAsia"/>
                <w:sz w:val="24"/>
                <w:szCs w:val="24"/>
              </w:rPr>
              <w:t>危害因素：工频电磁场</w:t>
            </w:r>
          </w:p>
        </w:tc>
        <w:tc>
          <w:tcPr>
            <w:tcW w:w="402" w:type="pct"/>
            <w:noWrap w:val="0"/>
            <w:vAlign w:val="center"/>
          </w:tcPr>
          <w:p>
            <w:pPr>
              <w:rPr>
                <w:rFonts w:hint="eastAsia"/>
                <w:w w:val="95"/>
                <w:sz w:val="24"/>
                <w:szCs w:val="24"/>
              </w:rPr>
            </w:pPr>
            <w:r>
              <w:rPr>
                <w:rFonts w:hint="eastAsia"/>
                <w:w w:val="9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521" w:type="pct"/>
            <w:noWrap w:val="0"/>
            <w:vAlign w:val="center"/>
          </w:tcPr>
          <w:p>
            <w:pPr>
              <w:rPr>
                <w:rFonts w:hint="eastAsia"/>
                <w:sz w:val="24"/>
                <w:szCs w:val="24"/>
              </w:rPr>
            </w:pPr>
            <w:r>
              <w:rPr>
                <w:rFonts w:hint="eastAsia"/>
                <w:sz w:val="24"/>
                <w:szCs w:val="24"/>
              </w:rPr>
              <w:t>总图运输</w:t>
            </w:r>
          </w:p>
        </w:tc>
        <w:tc>
          <w:tcPr>
            <w:tcW w:w="822" w:type="pct"/>
            <w:noWrap w:val="0"/>
            <w:vAlign w:val="center"/>
          </w:tcPr>
          <w:p>
            <w:pPr>
              <w:rPr>
                <w:rFonts w:hint="eastAsia"/>
                <w:sz w:val="24"/>
                <w:szCs w:val="24"/>
              </w:rPr>
            </w:pPr>
            <w:r>
              <w:rPr>
                <w:rFonts w:hint="eastAsia"/>
                <w:sz w:val="24"/>
                <w:szCs w:val="24"/>
              </w:rPr>
              <w:t>原辅材料、产品的运输及储存</w:t>
            </w:r>
          </w:p>
        </w:tc>
        <w:tc>
          <w:tcPr>
            <w:tcW w:w="3253" w:type="pct"/>
            <w:noWrap w:val="0"/>
            <w:vAlign w:val="center"/>
          </w:tcPr>
          <w:p>
            <w:pPr>
              <w:rPr>
                <w:rFonts w:hint="eastAsia"/>
                <w:sz w:val="24"/>
                <w:szCs w:val="24"/>
              </w:rPr>
            </w:pPr>
            <w:r>
              <w:rPr>
                <w:rFonts w:hint="eastAsia"/>
                <w:sz w:val="24"/>
                <w:szCs w:val="24"/>
              </w:rPr>
              <w:t>氧化铝仓库、新鲜氧化铝贮槽、铝锭堆场、皮带输送系统</w:t>
            </w:r>
          </w:p>
          <w:p>
            <w:pPr>
              <w:rPr>
                <w:rFonts w:hint="eastAsia"/>
                <w:sz w:val="24"/>
                <w:szCs w:val="24"/>
              </w:rPr>
            </w:pPr>
            <w:r>
              <w:rPr>
                <w:rFonts w:hint="eastAsia"/>
                <w:sz w:val="24"/>
                <w:szCs w:val="24"/>
              </w:rPr>
              <w:t>危害因素：噪声、氧化铝粉尘</w:t>
            </w:r>
          </w:p>
        </w:tc>
        <w:tc>
          <w:tcPr>
            <w:tcW w:w="402" w:type="pct"/>
            <w:noWrap w:val="0"/>
            <w:vAlign w:val="center"/>
          </w:tcPr>
          <w:p>
            <w:pPr>
              <w:rPr>
                <w:rFonts w:hint="eastAsia"/>
                <w:w w:val="95"/>
                <w:sz w:val="24"/>
                <w:szCs w:val="24"/>
              </w:rPr>
            </w:pPr>
            <w:r>
              <w:rPr>
                <w:rFonts w:hint="eastAsia"/>
                <w:w w:val="95"/>
                <w:sz w:val="24"/>
                <w:szCs w:val="24"/>
              </w:rPr>
              <w:t>——</w:t>
            </w:r>
          </w:p>
        </w:tc>
      </w:tr>
      <w:bookmarkEnd w:id="27"/>
    </w:tbl>
    <w:p>
      <w:pPr>
        <w:spacing w:line="490" w:lineRule="exact"/>
        <w:outlineLvl w:val="0"/>
        <w:rPr>
          <w:rFonts w:ascii="宋体" w:hAnsi="宋体"/>
          <w:b/>
          <w:bCs/>
          <w:sz w:val="30"/>
          <w:szCs w:val="30"/>
        </w:rPr>
      </w:pPr>
      <w:r>
        <w:rPr>
          <w:rFonts w:hint="eastAsia" w:ascii="宋体" w:hAnsi="宋体"/>
          <w:b/>
          <w:bCs/>
          <w:sz w:val="30"/>
          <w:szCs w:val="30"/>
        </w:rPr>
        <w:t>3、华云二厂、华云动力厂</w:t>
      </w:r>
    </w:p>
    <w:tbl>
      <w:tblPr>
        <w:tblStyle w:val="54"/>
        <w:tblW w:w="5083" w:type="pct"/>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33"/>
        <w:gridCol w:w="1704"/>
        <w:gridCol w:w="5385"/>
        <w:gridCol w:w="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blHeader/>
        </w:trPr>
        <w:tc>
          <w:tcPr>
            <w:tcW w:w="523" w:type="pct"/>
            <w:noWrap w:val="0"/>
            <w:vAlign w:val="center"/>
          </w:tcPr>
          <w:p>
            <w:pPr>
              <w:rPr>
                <w:rFonts w:hint="eastAsia"/>
                <w:sz w:val="24"/>
                <w:szCs w:val="24"/>
              </w:rPr>
            </w:pPr>
            <w:r>
              <w:rPr>
                <w:rFonts w:hint="eastAsia"/>
                <w:w w:val="95"/>
                <w:sz w:val="24"/>
                <w:szCs w:val="24"/>
              </w:rPr>
              <w:t>评价单元</w:t>
            </w:r>
          </w:p>
        </w:tc>
        <w:tc>
          <w:tcPr>
            <w:tcW w:w="955" w:type="pct"/>
            <w:noWrap w:val="0"/>
            <w:vAlign w:val="center"/>
          </w:tcPr>
          <w:p>
            <w:pPr>
              <w:rPr>
                <w:rFonts w:hint="eastAsia"/>
                <w:sz w:val="24"/>
                <w:szCs w:val="24"/>
              </w:rPr>
            </w:pPr>
            <w:r>
              <w:rPr>
                <w:rFonts w:hint="eastAsia"/>
                <w:w w:val="95"/>
                <w:sz w:val="24"/>
                <w:szCs w:val="24"/>
              </w:rPr>
              <w:t>评价子单元</w:t>
            </w:r>
          </w:p>
        </w:tc>
        <w:tc>
          <w:tcPr>
            <w:tcW w:w="3018" w:type="pct"/>
            <w:noWrap w:val="0"/>
            <w:vAlign w:val="center"/>
          </w:tcPr>
          <w:p>
            <w:pPr>
              <w:rPr>
                <w:rFonts w:hint="eastAsia"/>
                <w:sz w:val="24"/>
                <w:szCs w:val="24"/>
              </w:rPr>
            </w:pPr>
            <w:r>
              <w:rPr>
                <w:rFonts w:hint="eastAsia"/>
                <w:sz w:val="24"/>
                <w:szCs w:val="24"/>
              </w:rPr>
              <w:t>工序及存在的危害因素</w:t>
            </w:r>
          </w:p>
        </w:tc>
        <w:tc>
          <w:tcPr>
            <w:tcW w:w="501" w:type="pct"/>
            <w:noWrap w:val="0"/>
            <w:vAlign w:val="center"/>
          </w:tcPr>
          <w:p>
            <w:pPr>
              <w:rPr>
                <w:rFonts w:hint="eastAsia"/>
                <w:w w:val="95"/>
                <w:sz w:val="24"/>
                <w:szCs w:val="24"/>
              </w:rPr>
            </w:pPr>
            <w:r>
              <w:rPr>
                <w:rFonts w:hint="eastAsia"/>
                <w:w w:val="95"/>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523" w:type="pct"/>
            <w:vMerge w:val="restart"/>
            <w:noWrap w:val="0"/>
            <w:vAlign w:val="center"/>
          </w:tcPr>
          <w:p>
            <w:pPr>
              <w:rPr>
                <w:rFonts w:hint="eastAsia"/>
                <w:sz w:val="24"/>
                <w:szCs w:val="24"/>
              </w:rPr>
            </w:pPr>
            <w:r>
              <w:rPr>
                <w:rFonts w:hint="eastAsia"/>
                <w:sz w:val="24"/>
                <w:szCs w:val="24"/>
              </w:rPr>
              <w:t>生产单元</w:t>
            </w:r>
          </w:p>
        </w:tc>
        <w:tc>
          <w:tcPr>
            <w:tcW w:w="955" w:type="pct"/>
            <w:noWrap w:val="0"/>
            <w:vAlign w:val="center"/>
          </w:tcPr>
          <w:p>
            <w:pPr>
              <w:rPr>
                <w:rFonts w:hint="eastAsia"/>
                <w:sz w:val="24"/>
                <w:szCs w:val="24"/>
              </w:rPr>
            </w:pPr>
            <w:r>
              <w:rPr>
                <w:rFonts w:hint="eastAsia"/>
                <w:sz w:val="24"/>
                <w:szCs w:val="24"/>
              </w:rPr>
              <w:t>电解铝车间</w:t>
            </w:r>
          </w:p>
        </w:tc>
        <w:tc>
          <w:tcPr>
            <w:tcW w:w="3018" w:type="pct"/>
            <w:noWrap w:val="0"/>
            <w:vAlign w:val="center"/>
          </w:tcPr>
          <w:p>
            <w:pPr>
              <w:rPr>
                <w:rFonts w:hint="eastAsia"/>
                <w:sz w:val="24"/>
                <w:szCs w:val="24"/>
              </w:rPr>
            </w:pPr>
            <w:r>
              <w:rPr>
                <w:rFonts w:hint="eastAsia"/>
                <w:kern w:val="0"/>
                <w:sz w:val="24"/>
                <w:szCs w:val="24"/>
              </w:rPr>
              <w:t>厂房建设及SY400 预焙阳极电解槽264台、</w:t>
            </w:r>
            <w:r>
              <w:rPr>
                <w:rFonts w:hint="eastAsia"/>
                <w:sz w:val="24"/>
                <w:szCs w:val="24"/>
              </w:rPr>
              <w:t>预焙阳极电解槽、电解多功能机组、真空抬包、下料系统等设备</w:t>
            </w:r>
          </w:p>
          <w:p>
            <w:pPr>
              <w:rPr>
                <w:rFonts w:hint="eastAsia"/>
                <w:sz w:val="24"/>
                <w:szCs w:val="24"/>
              </w:rPr>
            </w:pPr>
            <w:r>
              <w:rPr>
                <w:rFonts w:hint="eastAsia"/>
                <w:sz w:val="24"/>
                <w:szCs w:val="24"/>
              </w:rPr>
              <w:t>危害因素：</w:t>
            </w:r>
            <w:r>
              <w:rPr>
                <w:rStyle w:val="90"/>
                <w:rFonts w:hint="eastAsia" w:ascii="宋体" w:hAnsi="宋体"/>
                <w:sz w:val="24"/>
                <w:szCs w:val="24"/>
              </w:rPr>
              <w:t>危害因素：高温、粉尘、噪声、氟化物、</w:t>
            </w:r>
            <w:r>
              <w:rPr>
                <w:rStyle w:val="90"/>
                <w:rFonts w:hint="eastAsia" w:ascii="宋体" w:hAnsi="宋体"/>
                <w:sz w:val="24"/>
                <w:szCs w:val="24"/>
                <w:lang w:eastAsia="zh-CN"/>
              </w:rPr>
              <w:t>二氧化硫、一氧化碳、</w:t>
            </w:r>
            <w:r>
              <w:rPr>
                <w:rStyle w:val="90"/>
                <w:rFonts w:hint="eastAsia" w:ascii="宋体" w:hAnsi="宋体"/>
                <w:sz w:val="24"/>
                <w:szCs w:val="24"/>
              </w:rPr>
              <w:t>电磁场</w:t>
            </w:r>
          </w:p>
        </w:tc>
        <w:tc>
          <w:tcPr>
            <w:tcW w:w="501" w:type="pct"/>
            <w:noWrap w:val="0"/>
            <w:vAlign w:val="center"/>
          </w:tcPr>
          <w:p>
            <w:pPr>
              <w:rPr>
                <w:rFonts w:hint="eastAsia"/>
                <w:w w:val="95"/>
                <w:sz w:val="24"/>
                <w:szCs w:val="24"/>
              </w:rPr>
            </w:pPr>
            <w:r>
              <w:rPr>
                <w:rFonts w:hint="eastAsia"/>
                <w:w w:val="9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trPr>
        <w:tc>
          <w:tcPr>
            <w:tcW w:w="523" w:type="pct"/>
            <w:vMerge w:val="continue"/>
            <w:tcBorders>
              <w:top w:val="nil"/>
            </w:tcBorders>
            <w:noWrap w:val="0"/>
            <w:vAlign w:val="center"/>
          </w:tcPr>
          <w:p>
            <w:pPr>
              <w:rPr>
                <w:rFonts w:hint="eastAsia"/>
                <w:sz w:val="24"/>
                <w:szCs w:val="24"/>
              </w:rPr>
            </w:pPr>
          </w:p>
        </w:tc>
        <w:tc>
          <w:tcPr>
            <w:tcW w:w="955" w:type="pct"/>
            <w:noWrap w:val="0"/>
            <w:vAlign w:val="center"/>
          </w:tcPr>
          <w:p>
            <w:pPr>
              <w:rPr>
                <w:rFonts w:hint="eastAsia"/>
                <w:sz w:val="24"/>
                <w:szCs w:val="24"/>
              </w:rPr>
            </w:pPr>
            <w:r>
              <w:rPr>
                <w:rFonts w:hint="eastAsia"/>
                <w:sz w:val="24"/>
                <w:szCs w:val="24"/>
              </w:rPr>
              <w:t>铸造车间</w:t>
            </w:r>
          </w:p>
        </w:tc>
        <w:tc>
          <w:tcPr>
            <w:tcW w:w="3018" w:type="pct"/>
            <w:noWrap w:val="0"/>
            <w:vAlign w:val="center"/>
          </w:tcPr>
          <w:p>
            <w:pPr>
              <w:rPr>
                <w:rFonts w:hint="eastAsia"/>
                <w:sz w:val="24"/>
                <w:szCs w:val="24"/>
              </w:rPr>
            </w:pPr>
            <w:r>
              <w:rPr>
                <w:rFonts w:hint="eastAsia"/>
                <w:sz w:val="24"/>
                <w:szCs w:val="24"/>
              </w:rPr>
              <w:t>厂房的建设及混合炉、铝锭连续铸造机、扒渣车等设备</w:t>
            </w:r>
          </w:p>
          <w:p>
            <w:pPr>
              <w:rPr>
                <w:rFonts w:hint="eastAsia"/>
                <w:sz w:val="24"/>
                <w:szCs w:val="24"/>
              </w:rPr>
            </w:pPr>
            <w:r>
              <w:rPr>
                <w:rFonts w:hint="eastAsia"/>
                <w:sz w:val="24"/>
                <w:szCs w:val="24"/>
              </w:rPr>
              <w:t>危害因素：粉尘、高温、噪声</w:t>
            </w:r>
            <w:r>
              <w:rPr>
                <w:rFonts w:hint="eastAsia"/>
                <w:sz w:val="24"/>
                <w:szCs w:val="24"/>
                <w:lang w:eastAsia="zh-CN"/>
              </w:rPr>
              <w:t>、一氧化碳</w:t>
            </w:r>
          </w:p>
        </w:tc>
        <w:tc>
          <w:tcPr>
            <w:tcW w:w="501" w:type="pct"/>
            <w:noWrap w:val="0"/>
            <w:vAlign w:val="center"/>
          </w:tcPr>
          <w:p>
            <w:pPr>
              <w:rPr>
                <w:rFonts w:hint="eastAsia"/>
                <w:w w:val="95"/>
                <w:sz w:val="24"/>
                <w:szCs w:val="24"/>
              </w:rPr>
            </w:pPr>
            <w:r>
              <w:rPr>
                <w:rFonts w:hint="eastAsia"/>
                <w:w w:val="9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523" w:type="pct"/>
            <w:vMerge w:val="continue"/>
            <w:tcBorders>
              <w:top w:val="nil"/>
            </w:tcBorders>
            <w:noWrap w:val="0"/>
            <w:vAlign w:val="center"/>
          </w:tcPr>
          <w:p>
            <w:pPr>
              <w:rPr>
                <w:rFonts w:hint="eastAsia"/>
                <w:sz w:val="24"/>
                <w:szCs w:val="24"/>
              </w:rPr>
            </w:pPr>
          </w:p>
        </w:tc>
        <w:tc>
          <w:tcPr>
            <w:tcW w:w="955" w:type="pct"/>
            <w:noWrap w:val="0"/>
            <w:vAlign w:val="center"/>
          </w:tcPr>
          <w:p>
            <w:pPr>
              <w:rPr>
                <w:rFonts w:hint="eastAsia"/>
                <w:sz w:val="24"/>
                <w:szCs w:val="24"/>
              </w:rPr>
            </w:pPr>
            <w:r>
              <w:rPr>
                <w:rFonts w:hint="eastAsia"/>
                <w:sz w:val="24"/>
                <w:szCs w:val="24"/>
              </w:rPr>
              <w:t>组装车间</w:t>
            </w:r>
          </w:p>
        </w:tc>
        <w:tc>
          <w:tcPr>
            <w:tcW w:w="3018" w:type="pct"/>
            <w:noWrap w:val="0"/>
            <w:vAlign w:val="center"/>
          </w:tcPr>
          <w:p>
            <w:pPr>
              <w:rPr>
                <w:rFonts w:hint="eastAsia"/>
                <w:sz w:val="24"/>
                <w:szCs w:val="24"/>
              </w:rPr>
            </w:pPr>
            <w:r>
              <w:rPr>
                <w:rFonts w:hint="eastAsia"/>
                <w:sz w:val="24"/>
                <w:szCs w:val="24"/>
              </w:rPr>
              <w:t>厂房的建设及 3t 中频炉、电解质清理机、残极清理滚筒系统、残极压脱机等设备。</w:t>
            </w:r>
          </w:p>
          <w:p>
            <w:pPr>
              <w:rPr>
                <w:rFonts w:hint="eastAsia"/>
                <w:sz w:val="24"/>
                <w:szCs w:val="24"/>
              </w:rPr>
            </w:pPr>
            <w:r>
              <w:rPr>
                <w:rFonts w:hint="eastAsia"/>
                <w:sz w:val="24"/>
                <w:szCs w:val="24"/>
              </w:rPr>
              <w:t>危害因素：噪声、高温、粉尘</w:t>
            </w:r>
          </w:p>
        </w:tc>
        <w:tc>
          <w:tcPr>
            <w:tcW w:w="501" w:type="pct"/>
            <w:noWrap w:val="0"/>
            <w:vAlign w:val="center"/>
          </w:tcPr>
          <w:p>
            <w:pPr>
              <w:rPr>
                <w:rFonts w:hint="eastAsia"/>
                <w:w w:val="95"/>
                <w:sz w:val="24"/>
                <w:szCs w:val="24"/>
              </w:rPr>
            </w:pPr>
            <w:r>
              <w:rPr>
                <w:rFonts w:hint="eastAsia"/>
                <w:w w:val="9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5" w:hRule="atLeast"/>
        </w:trPr>
        <w:tc>
          <w:tcPr>
            <w:tcW w:w="523" w:type="pct"/>
            <w:vMerge w:val="continue"/>
            <w:tcBorders>
              <w:top w:val="nil"/>
            </w:tcBorders>
            <w:noWrap w:val="0"/>
            <w:vAlign w:val="center"/>
          </w:tcPr>
          <w:p>
            <w:pPr>
              <w:rPr>
                <w:rFonts w:hint="eastAsia"/>
                <w:sz w:val="24"/>
                <w:szCs w:val="24"/>
              </w:rPr>
            </w:pPr>
          </w:p>
        </w:tc>
        <w:tc>
          <w:tcPr>
            <w:tcW w:w="955" w:type="pct"/>
            <w:noWrap w:val="0"/>
            <w:vAlign w:val="center"/>
          </w:tcPr>
          <w:p>
            <w:pPr>
              <w:rPr>
                <w:rFonts w:hint="eastAsia"/>
                <w:sz w:val="24"/>
                <w:szCs w:val="24"/>
              </w:rPr>
            </w:pPr>
            <w:r>
              <w:rPr>
                <w:rFonts w:hint="eastAsia"/>
                <w:sz w:val="24"/>
                <w:szCs w:val="24"/>
              </w:rPr>
              <w:t>烟气净化系统</w:t>
            </w:r>
          </w:p>
        </w:tc>
        <w:tc>
          <w:tcPr>
            <w:tcW w:w="3018" w:type="pct"/>
            <w:noWrap w:val="0"/>
            <w:vAlign w:val="center"/>
          </w:tcPr>
          <w:p>
            <w:pPr>
              <w:rPr>
                <w:rFonts w:hint="eastAsia" w:ascii="宋体" w:hAnsi="宋体"/>
                <w:sz w:val="24"/>
                <w:szCs w:val="24"/>
              </w:rPr>
            </w:pPr>
            <w:r>
              <w:rPr>
                <w:rFonts w:hint="eastAsia" w:ascii="宋体" w:hAnsi="宋体"/>
                <w:sz w:val="24"/>
                <w:szCs w:val="24"/>
              </w:rPr>
              <w:t>厂房的建设及新鲜氧化铝仓、载氟氧化铝仓、主排烟风机、脉冲布袋除尘器、提升机、高压离心风机；半干法脱硫系统等设备。</w:t>
            </w:r>
          </w:p>
          <w:p>
            <w:pPr>
              <w:rPr>
                <w:rFonts w:hint="eastAsia" w:ascii="宋体" w:hAnsi="宋体"/>
                <w:sz w:val="24"/>
                <w:szCs w:val="24"/>
              </w:rPr>
            </w:pPr>
            <w:r>
              <w:rPr>
                <w:rFonts w:hint="eastAsia" w:ascii="宋体" w:hAnsi="宋体"/>
                <w:sz w:val="24"/>
                <w:szCs w:val="24"/>
              </w:rPr>
              <w:t>危害因素：氟化物、</w:t>
            </w:r>
            <w:r>
              <w:rPr>
                <w:rFonts w:hint="eastAsia" w:ascii="宋体" w:hAnsi="宋体"/>
                <w:sz w:val="24"/>
                <w:szCs w:val="24"/>
                <w:lang w:eastAsia="zh-CN"/>
              </w:rPr>
              <w:t>二氧化硫、</w:t>
            </w:r>
            <w:r>
              <w:rPr>
                <w:rFonts w:hint="eastAsia" w:ascii="宋体" w:hAnsi="宋体"/>
                <w:sz w:val="24"/>
                <w:szCs w:val="24"/>
              </w:rPr>
              <w:t>粉尘、高温、噪声</w:t>
            </w:r>
            <w:r>
              <w:rPr>
                <w:rFonts w:hint="eastAsia" w:ascii="宋体" w:hAnsi="宋体"/>
                <w:sz w:val="24"/>
                <w:szCs w:val="24"/>
                <w:lang w:eastAsia="zh-CN"/>
              </w:rPr>
              <w:t>、</w:t>
            </w:r>
            <w:r>
              <w:rPr>
                <w:rStyle w:val="90"/>
                <w:rFonts w:hint="eastAsia" w:ascii="宋体" w:hAnsi="宋体"/>
                <w:sz w:val="24"/>
                <w:szCs w:val="24"/>
                <w:lang w:eastAsia="zh-CN"/>
              </w:rPr>
              <w:t>一氧化碳</w:t>
            </w:r>
          </w:p>
        </w:tc>
        <w:tc>
          <w:tcPr>
            <w:tcW w:w="501" w:type="pct"/>
            <w:noWrap w:val="0"/>
            <w:vAlign w:val="center"/>
          </w:tcPr>
          <w:p>
            <w:pPr>
              <w:rPr>
                <w:rFonts w:hint="eastAsia"/>
                <w:w w:val="95"/>
                <w:sz w:val="24"/>
                <w:szCs w:val="24"/>
              </w:rPr>
            </w:pPr>
            <w:r>
              <w:rPr>
                <w:rFonts w:hint="eastAsia"/>
                <w:w w:val="9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523" w:type="pct"/>
            <w:vMerge w:val="restart"/>
            <w:noWrap w:val="0"/>
            <w:vAlign w:val="center"/>
          </w:tcPr>
          <w:p>
            <w:pPr>
              <w:rPr>
                <w:rFonts w:hint="eastAsia"/>
                <w:sz w:val="24"/>
                <w:szCs w:val="24"/>
              </w:rPr>
            </w:pPr>
            <w:r>
              <w:rPr>
                <w:rFonts w:hint="eastAsia"/>
                <w:sz w:val="24"/>
                <w:szCs w:val="24"/>
              </w:rPr>
              <w:t>辅助单元</w:t>
            </w:r>
          </w:p>
        </w:tc>
        <w:tc>
          <w:tcPr>
            <w:tcW w:w="955" w:type="pct"/>
            <w:noWrap w:val="0"/>
            <w:vAlign w:val="center"/>
          </w:tcPr>
          <w:p>
            <w:pPr>
              <w:rPr>
                <w:rFonts w:hint="eastAsia"/>
                <w:sz w:val="24"/>
                <w:szCs w:val="24"/>
              </w:rPr>
            </w:pPr>
            <w:r>
              <w:rPr>
                <w:rFonts w:hint="eastAsia"/>
                <w:sz w:val="24"/>
                <w:szCs w:val="24"/>
              </w:rPr>
              <w:t>冷却循环水系统</w:t>
            </w:r>
          </w:p>
        </w:tc>
        <w:tc>
          <w:tcPr>
            <w:tcW w:w="3018" w:type="pct"/>
            <w:noWrap w:val="0"/>
            <w:vAlign w:val="center"/>
          </w:tcPr>
          <w:p>
            <w:pPr>
              <w:rPr>
                <w:rFonts w:hint="eastAsia" w:ascii="宋体" w:hAnsi="宋体"/>
                <w:sz w:val="24"/>
                <w:szCs w:val="24"/>
              </w:rPr>
            </w:pPr>
            <w:r>
              <w:rPr>
                <w:rFonts w:hint="eastAsia" w:ascii="宋体" w:hAnsi="宋体"/>
                <w:sz w:val="24"/>
                <w:szCs w:val="24"/>
              </w:rPr>
              <w:t>冷却塔、水泵、管网等</w:t>
            </w:r>
          </w:p>
          <w:p>
            <w:pPr>
              <w:rPr>
                <w:rFonts w:hint="eastAsia" w:ascii="宋体" w:hAnsi="宋体"/>
                <w:sz w:val="24"/>
                <w:szCs w:val="24"/>
              </w:rPr>
            </w:pPr>
            <w:r>
              <w:rPr>
                <w:rFonts w:hint="eastAsia" w:ascii="宋体" w:hAnsi="宋体"/>
                <w:sz w:val="24"/>
                <w:szCs w:val="24"/>
              </w:rPr>
              <w:t>危害因素：噪声</w:t>
            </w:r>
          </w:p>
        </w:tc>
        <w:tc>
          <w:tcPr>
            <w:tcW w:w="501" w:type="pct"/>
            <w:noWrap w:val="0"/>
            <w:vAlign w:val="center"/>
          </w:tcPr>
          <w:p>
            <w:pPr>
              <w:rPr>
                <w:rFonts w:hint="eastAsia"/>
                <w:w w:val="9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523" w:type="pct"/>
            <w:vMerge w:val="continue"/>
            <w:noWrap w:val="0"/>
            <w:vAlign w:val="center"/>
          </w:tcPr>
          <w:p>
            <w:pPr>
              <w:rPr>
                <w:rFonts w:hint="eastAsia"/>
                <w:sz w:val="24"/>
                <w:szCs w:val="24"/>
              </w:rPr>
            </w:pPr>
          </w:p>
        </w:tc>
        <w:tc>
          <w:tcPr>
            <w:tcW w:w="955" w:type="pct"/>
            <w:noWrap w:val="0"/>
            <w:vAlign w:val="center"/>
          </w:tcPr>
          <w:p>
            <w:pPr>
              <w:rPr>
                <w:rFonts w:hint="eastAsia"/>
                <w:sz w:val="24"/>
                <w:szCs w:val="24"/>
              </w:rPr>
            </w:pPr>
            <w:r>
              <w:rPr>
                <w:rFonts w:hint="eastAsia"/>
                <w:sz w:val="24"/>
                <w:szCs w:val="24"/>
              </w:rPr>
              <w:t>空压站</w:t>
            </w:r>
          </w:p>
        </w:tc>
        <w:tc>
          <w:tcPr>
            <w:tcW w:w="3018" w:type="pct"/>
            <w:noWrap w:val="0"/>
            <w:vAlign w:val="center"/>
          </w:tcPr>
          <w:p>
            <w:pPr>
              <w:rPr>
                <w:rFonts w:hint="eastAsia" w:ascii="宋体" w:hAnsi="宋体"/>
                <w:sz w:val="24"/>
                <w:szCs w:val="24"/>
              </w:rPr>
            </w:pPr>
            <w:r>
              <w:rPr>
                <w:rFonts w:hint="eastAsia" w:ascii="宋体" w:hAnsi="宋体"/>
                <w:sz w:val="24"/>
                <w:szCs w:val="24"/>
              </w:rPr>
              <w:t>空压机、储气罐</w:t>
            </w:r>
          </w:p>
          <w:p>
            <w:pPr>
              <w:rPr>
                <w:rFonts w:hint="eastAsia" w:ascii="宋体" w:hAnsi="宋体"/>
                <w:sz w:val="24"/>
                <w:szCs w:val="24"/>
              </w:rPr>
            </w:pPr>
            <w:r>
              <w:rPr>
                <w:rFonts w:hint="eastAsia" w:ascii="宋体" w:hAnsi="宋体"/>
                <w:sz w:val="24"/>
                <w:szCs w:val="24"/>
              </w:rPr>
              <w:t>危害因素：噪声</w:t>
            </w:r>
          </w:p>
        </w:tc>
        <w:tc>
          <w:tcPr>
            <w:tcW w:w="501" w:type="pct"/>
            <w:noWrap w:val="0"/>
            <w:vAlign w:val="center"/>
          </w:tcPr>
          <w:p>
            <w:pP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3" w:type="pct"/>
            <w:vMerge w:val="continue"/>
            <w:noWrap w:val="0"/>
            <w:vAlign w:val="center"/>
          </w:tcPr>
          <w:p>
            <w:pPr>
              <w:rPr>
                <w:rFonts w:hint="eastAsia"/>
                <w:sz w:val="24"/>
                <w:szCs w:val="24"/>
              </w:rPr>
            </w:pPr>
          </w:p>
        </w:tc>
        <w:tc>
          <w:tcPr>
            <w:tcW w:w="955" w:type="pct"/>
            <w:noWrap w:val="0"/>
            <w:vAlign w:val="center"/>
          </w:tcPr>
          <w:p>
            <w:pPr>
              <w:rPr>
                <w:rFonts w:hint="eastAsia"/>
                <w:sz w:val="24"/>
                <w:szCs w:val="24"/>
              </w:rPr>
            </w:pPr>
            <w:r>
              <w:rPr>
                <w:rFonts w:hint="eastAsia"/>
                <w:kern w:val="0"/>
                <w:sz w:val="24"/>
                <w:szCs w:val="24"/>
              </w:rPr>
              <w:t>清包车间</w:t>
            </w:r>
          </w:p>
        </w:tc>
        <w:tc>
          <w:tcPr>
            <w:tcW w:w="3018" w:type="pct"/>
            <w:noWrap w:val="0"/>
            <w:vAlign w:val="center"/>
          </w:tcPr>
          <w:p>
            <w:pPr>
              <w:rPr>
                <w:rFonts w:hint="eastAsia" w:ascii="宋体" w:hAnsi="宋体"/>
                <w:kern w:val="0"/>
                <w:sz w:val="24"/>
                <w:szCs w:val="24"/>
              </w:rPr>
            </w:pPr>
            <w:r>
              <w:rPr>
                <w:rFonts w:hint="eastAsia" w:ascii="宋体" w:hAnsi="宋体"/>
                <w:kern w:val="0"/>
                <w:sz w:val="24"/>
                <w:szCs w:val="24"/>
              </w:rPr>
              <w:t>厂房建设及抬包清理机、切砖机、风镐、吸铝管清理机等设备的安装</w:t>
            </w:r>
          </w:p>
          <w:p>
            <w:pPr>
              <w:rPr>
                <w:rFonts w:hint="eastAsia" w:ascii="宋体" w:hAnsi="宋体"/>
                <w:sz w:val="24"/>
                <w:szCs w:val="24"/>
              </w:rPr>
            </w:pPr>
            <w:r>
              <w:rPr>
                <w:rFonts w:hint="eastAsia" w:ascii="宋体" w:hAnsi="宋体"/>
                <w:kern w:val="0"/>
                <w:sz w:val="24"/>
                <w:szCs w:val="24"/>
              </w:rPr>
              <w:t>危害因素：粉尘、噪声、手传振动。</w:t>
            </w:r>
          </w:p>
        </w:tc>
        <w:tc>
          <w:tcPr>
            <w:tcW w:w="501" w:type="pct"/>
            <w:noWrap w:val="0"/>
            <w:vAlign w:val="center"/>
          </w:tcPr>
          <w:p>
            <w:pPr>
              <w:jc w:val="cente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3" w:type="pct"/>
            <w:vMerge w:val="continue"/>
            <w:noWrap w:val="0"/>
            <w:vAlign w:val="center"/>
          </w:tcPr>
          <w:p>
            <w:pPr>
              <w:rPr>
                <w:rFonts w:hint="eastAsia"/>
                <w:sz w:val="24"/>
                <w:szCs w:val="24"/>
              </w:rPr>
            </w:pPr>
          </w:p>
        </w:tc>
        <w:tc>
          <w:tcPr>
            <w:tcW w:w="955" w:type="pct"/>
            <w:noWrap w:val="0"/>
            <w:vAlign w:val="center"/>
          </w:tcPr>
          <w:p>
            <w:pPr>
              <w:rPr>
                <w:rFonts w:hint="eastAsia"/>
                <w:sz w:val="24"/>
                <w:szCs w:val="24"/>
              </w:rPr>
            </w:pPr>
            <w:r>
              <w:rPr>
                <w:rFonts w:hint="eastAsia"/>
                <w:sz w:val="24"/>
                <w:szCs w:val="24"/>
              </w:rPr>
              <w:t>检维修</w:t>
            </w:r>
          </w:p>
        </w:tc>
        <w:tc>
          <w:tcPr>
            <w:tcW w:w="3018" w:type="pct"/>
            <w:noWrap w:val="0"/>
            <w:vAlign w:val="center"/>
          </w:tcPr>
          <w:p>
            <w:pPr>
              <w:rPr>
                <w:rFonts w:hint="eastAsia" w:ascii="宋体" w:hAnsi="宋体"/>
                <w:sz w:val="24"/>
                <w:szCs w:val="24"/>
              </w:rPr>
            </w:pPr>
            <w:r>
              <w:rPr>
                <w:rFonts w:hint="eastAsia" w:ascii="宋体" w:hAnsi="宋体"/>
                <w:sz w:val="24"/>
                <w:szCs w:val="24"/>
              </w:rPr>
              <w:t>厂区各车间设备日常维护和检修</w:t>
            </w:r>
          </w:p>
          <w:p>
            <w:pPr>
              <w:rPr>
                <w:rFonts w:hint="eastAsia" w:ascii="宋体" w:hAnsi="宋体"/>
                <w:sz w:val="24"/>
                <w:szCs w:val="24"/>
              </w:rPr>
            </w:pPr>
            <w:r>
              <w:rPr>
                <w:rFonts w:hint="eastAsia" w:ascii="宋体" w:hAnsi="宋体"/>
                <w:sz w:val="24"/>
                <w:szCs w:val="24"/>
              </w:rPr>
              <w:t>危害因素：电焊烟尘、锰及其化合物、紫外辐射</w:t>
            </w:r>
          </w:p>
        </w:tc>
        <w:tc>
          <w:tcPr>
            <w:tcW w:w="501" w:type="pct"/>
            <w:noWrap w:val="0"/>
            <w:vAlign w:val="center"/>
          </w:tcPr>
          <w:p>
            <w:pPr>
              <w:jc w:val="center"/>
              <w:rPr>
                <w:rFonts w:hint="eastAsia"/>
                <w:w w:val="95"/>
                <w:sz w:val="24"/>
                <w:szCs w:val="24"/>
              </w:rPr>
            </w:pPr>
            <w:r>
              <w:rPr>
                <w:rFonts w:hint="eastAsia"/>
                <w:w w:val="9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3" w:type="pct"/>
            <w:vMerge w:val="continue"/>
            <w:noWrap w:val="0"/>
            <w:vAlign w:val="center"/>
          </w:tcPr>
          <w:p>
            <w:pPr>
              <w:rPr>
                <w:rFonts w:hint="eastAsia"/>
                <w:sz w:val="24"/>
                <w:szCs w:val="24"/>
              </w:rPr>
            </w:pPr>
          </w:p>
        </w:tc>
        <w:tc>
          <w:tcPr>
            <w:tcW w:w="955" w:type="pct"/>
            <w:noWrap w:val="0"/>
            <w:vAlign w:val="center"/>
          </w:tcPr>
          <w:p>
            <w:pPr>
              <w:rPr>
                <w:rFonts w:hint="eastAsia"/>
                <w:sz w:val="24"/>
                <w:szCs w:val="24"/>
              </w:rPr>
            </w:pPr>
            <w:r>
              <w:rPr>
                <w:rFonts w:hint="eastAsia"/>
                <w:sz w:val="24"/>
                <w:szCs w:val="24"/>
              </w:rPr>
              <w:t>视屏监控系统</w:t>
            </w:r>
          </w:p>
        </w:tc>
        <w:tc>
          <w:tcPr>
            <w:tcW w:w="3018" w:type="pct"/>
            <w:noWrap w:val="0"/>
            <w:vAlign w:val="center"/>
          </w:tcPr>
          <w:p>
            <w:pPr>
              <w:rPr>
                <w:rFonts w:hint="eastAsia" w:ascii="宋体" w:hAnsi="宋体"/>
                <w:sz w:val="24"/>
                <w:szCs w:val="24"/>
              </w:rPr>
            </w:pPr>
            <w:r>
              <w:rPr>
                <w:rFonts w:hint="eastAsia" w:ascii="宋体" w:hAnsi="宋体"/>
                <w:sz w:val="24"/>
                <w:szCs w:val="24"/>
              </w:rPr>
              <w:t>在电解烟气净化脱硫系统设置视频监控系统</w:t>
            </w:r>
          </w:p>
        </w:tc>
        <w:tc>
          <w:tcPr>
            <w:tcW w:w="501" w:type="pct"/>
            <w:noWrap w:val="0"/>
            <w:vAlign w:val="center"/>
          </w:tcPr>
          <w:p>
            <w:pPr>
              <w:jc w:val="cente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523" w:type="pct"/>
            <w:vMerge w:val="restart"/>
            <w:noWrap w:val="0"/>
            <w:vAlign w:val="center"/>
          </w:tcPr>
          <w:p>
            <w:pPr>
              <w:rPr>
                <w:rFonts w:hint="eastAsia"/>
                <w:sz w:val="24"/>
                <w:szCs w:val="24"/>
              </w:rPr>
            </w:pPr>
            <w:r>
              <w:rPr>
                <w:rFonts w:hint="eastAsia"/>
                <w:sz w:val="24"/>
                <w:szCs w:val="24"/>
              </w:rPr>
              <w:t>公用单元</w:t>
            </w:r>
          </w:p>
        </w:tc>
        <w:tc>
          <w:tcPr>
            <w:tcW w:w="955" w:type="pct"/>
            <w:noWrap w:val="0"/>
            <w:vAlign w:val="center"/>
          </w:tcPr>
          <w:p>
            <w:pPr>
              <w:rPr>
                <w:rFonts w:hint="eastAsia"/>
                <w:sz w:val="24"/>
                <w:szCs w:val="24"/>
              </w:rPr>
            </w:pPr>
            <w:r>
              <w:rPr>
                <w:rFonts w:hint="eastAsia"/>
                <w:sz w:val="24"/>
                <w:szCs w:val="24"/>
              </w:rPr>
              <w:t>给水</w:t>
            </w:r>
          </w:p>
        </w:tc>
        <w:tc>
          <w:tcPr>
            <w:tcW w:w="3018" w:type="pct"/>
            <w:noWrap w:val="0"/>
            <w:vAlign w:val="center"/>
          </w:tcPr>
          <w:p>
            <w:pPr>
              <w:rPr>
                <w:rFonts w:hint="eastAsia" w:ascii="宋体" w:hAnsi="宋体" w:eastAsia="宋体"/>
                <w:sz w:val="24"/>
                <w:szCs w:val="24"/>
                <w:lang w:eastAsia="zh-CN"/>
              </w:rPr>
            </w:pPr>
            <w:r>
              <w:rPr>
                <w:rFonts w:hint="eastAsia" w:ascii="宋体" w:hAnsi="宋体"/>
                <w:sz w:val="24"/>
                <w:szCs w:val="24"/>
                <w:lang w:eastAsia="zh-CN"/>
              </w:rPr>
              <w:t>自来水</w:t>
            </w:r>
            <w:r>
              <w:rPr>
                <w:rFonts w:hint="eastAsia" w:ascii="宋体" w:hAnsi="宋体"/>
                <w:sz w:val="24"/>
                <w:szCs w:val="24"/>
              </w:rPr>
              <w:t>给水管网</w:t>
            </w:r>
            <w:r>
              <w:rPr>
                <w:rFonts w:hint="eastAsia" w:ascii="宋体" w:hAnsi="宋体"/>
                <w:sz w:val="24"/>
                <w:szCs w:val="24"/>
                <w:lang w:eastAsia="zh-CN"/>
              </w:rPr>
              <w:t>供水</w:t>
            </w:r>
          </w:p>
        </w:tc>
        <w:tc>
          <w:tcPr>
            <w:tcW w:w="501" w:type="pct"/>
            <w:noWrap w:val="0"/>
            <w:vAlign w:val="center"/>
          </w:tcPr>
          <w:p>
            <w:pPr>
              <w:jc w:val="cente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3" w:type="pct"/>
            <w:vMerge w:val="continue"/>
            <w:noWrap w:val="0"/>
            <w:vAlign w:val="center"/>
          </w:tcPr>
          <w:p>
            <w:pPr>
              <w:rPr>
                <w:rFonts w:hint="eastAsia"/>
                <w:sz w:val="24"/>
                <w:szCs w:val="24"/>
              </w:rPr>
            </w:pPr>
          </w:p>
        </w:tc>
        <w:tc>
          <w:tcPr>
            <w:tcW w:w="955" w:type="pct"/>
            <w:noWrap w:val="0"/>
            <w:vAlign w:val="center"/>
          </w:tcPr>
          <w:p>
            <w:pPr>
              <w:rPr>
                <w:rFonts w:hint="eastAsia"/>
                <w:sz w:val="24"/>
                <w:szCs w:val="24"/>
              </w:rPr>
            </w:pPr>
            <w:r>
              <w:rPr>
                <w:rFonts w:hint="eastAsia"/>
                <w:sz w:val="24"/>
                <w:szCs w:val="24"/>
              </w:rPr>
              <w:t>排水</w:t>
            </w:r>
          </w:p>
        </w:tc>
        <w:tc>
          <w:tcPr>
            <w:tcW w:w="3018" w:type="pct"/>
            <w:noWrap w:val="0"/>
            <w:vAlign w:val="center"/>
          </w:tcPr>
          <w:p>
            <w:pPr>
              <w:rPr>
                <w:rFonts w:hint="eastAsia" w:ascii="宋体" w:hAnsi="宋体" w:eastAsia="宋体"/>
                <w:sz w:val="24"/>
                <w:szCs w:val="24"/>
                <w:lang w:eastAsia="zh-CN"/>
              </w:rPr>
            </w:pPr>
            <w:r>
              <w:rPr>
                <w:rFonts w:hint="eastAsia" w:ascii="宋体" w:hAnsi="宋体"/>
                <w:sz w:val="24"/>
                <w:szCs w:val="24"/>
              </w:rPr>
              <w:t>污水排入炭素厂厂区污水处理站处理</w:t>
            </w:r>
            <w:r>
              <w:rPr>
                <w:rFonts w:hint="eastAsia" w:ascii="宋体" w:hAnsi="宋体"/>
                <w:sz w:val="24"/>
                <w:szCs w:val="24"/>
                <w:lang w:eastAsia="zh-CN"/>
              </w:rPr>
              <w:t>后回用</w:t>
            </w:r>
          </w:p>
        </w:tc>
        <w:tc>
          <w:tcPr>
            <w:tcW w:w="501" w:type="pct"/>
            <w:noWrap w:val="0"/>
            <w:vAlign w:val="center"/>
          </w:tcPr>
          <w:p>
            <w:pPr>
              <w:jc w:val="cente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3" w:type="pct"/>
            <w:vMerge w:val="continue"/>
            <w:noWrap w:val="0"/>
            <w:vAlign w:val="center"/>
          </w:tcPr>
          <w:p>
            <w:pPr>
              <w:rPr>
                <w:rFonts w:hint="eastAsia"/>
                <w:sz w:val="24"/>
                <w:szCs w:val="24"/>
              </w:rPr>
            </w:pPr>
          </w:p>
        </w:tc>
        <w:tc>
          <w:tcPr>
            <w:tcW w:w="955" w:type="pct"/>
            <w:noWrap w:val="0"/>
            <w:vAlign w:val="center"/>
          </w:tcPr>
          <w:p>
            <w:pPr>
              <w:rPr>
                <w:rFonts w:hint="eastAsia"/>
                <w:sz w:val="24"/>
                <w:szCs w:val="24"/>
              </w:rPr>
            </w:pPr>
            <w:r>
              <w:rPr>
                <w:rFonts w:hint="eastAsia"/>
                <w:sz w:val="24"/>
                <w:szCs w:val="24"/>
              </w:rPr>
              <w:t>供电</w:t>
            </w:r>
          </w:p>
        </w:tc>
        <w:tc>
          <w:tcPr>
            <w:tcW w:w="3018" w:type="pct"/>
            <w:noWrap w:val="0"/>
            <w:vAlign w:val="center"/>
          </w:tcPr>
          <w:p>
            <w:pPr>
              <w:rPr>
                <w:rFonts w:hint="eastAsia" w:ascii="宋体" w:hAnsi="宋体"/>
                <w:kern w:val="0"/>
                <w:sz w:val="24"/>
                <w:szCs w:val="24"/>
              </w:rPr>
            </w:pPr>
            <w:r>
              <w:rPr>
                <w:rFonts w:hint="eastAsia" w:ascii="宋体" w:hAnsi="宋体"/>
                <w:kern w:val="0"/>
                <w:sz w:val="24"/>
                <w:szCs w:val="24"/>
              </w:rPr>
              <w:t>华云动力厂6所220kV 配电装置采用户外 HGIS 配置。主接线系统采用双母线带母联接线系统。</w:t>
            </w:r>
          </w:p>
          <w:p>
            <w:pPr>
              <w:rPr>
                <w:rFonts w:hint="eastAsia" w:ascii="宋体" w:hAnsi="宋体"/>
                <w:sz w:val="24"/>
                <w:szCs w:val="24"/>
              </w:rPr>
            </w:pPr>
            <w:r>
              <w:rPr>
                <w:rFonts w:hint="eastAsia" w:ascii="宋体" w:hAnsi="宋体"/>
                <w:kern w:val="0"/>
                <w:sz w:val="24"/>
                <w:szCs w:val="24"/>
              </w:rPr>
              <w:t>危害因素：工频电场</w:t>
            </w:r>
          </w:p>
        </w:tc>
        <w:tc>
          <w:tcPr>
            <w:tcW w:w="501" w:type="pct"/>
            <w:noWrap w:val="0"/>
            <w:vAlign w:val="center"/>
          </w:tcPr>
          <w:p>
            <w:pPr>
              <w:rPr>
                <w:rFonts w:hint="eastAsia"/>
                <w:w w:val="95"/>
                <w:sz w:val="24"/>
                <w:szCs w:val="24"/>
              </w:rPr>
            </w:pPr>
            <w:r>
              <w:rPr>
                <w:rFonts w:hint="eastAsia"/>
                <w:w w:val="9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523" w:type="pct"/>
            <w:noWrap w:val="0"/>
            <w:vAlign w:val="center"/>
          </w:tcPr>
          <w:p>
            <w:pPr>
              <w:rPr>
                <w:rFonts w:hint="eastAsia"/>
                <w:sz w:val="24"/>
                <w:szCs w:val="24"/>
              </w:rPr>
            </w:pPr>
            <w:r>
              <w:rPr>
                <w:rFonts w:hint="eastAsia"/>
                <w:sz w:val="24"/>
                <w:szCs w:val="24"/>
              </w:rPr>
              <w:t>总图运输</w:t>
            </w:r>
          </w:p>
        </w:tc>
        <w:tc>
          <w:tcPr>
            <w:tcW w:w="955" w:type="pct"/>
            <w:noWrap w:val="0"/>
            <w:vAlign w:val="center"/>
          </w:tcPr>
          <w:p>
            <w:pPr>
              <w:rPr>
                <w:rFonts w:hint="eastAsia"/>
                <w:sz w:val="24"/>
                <w:szCs w:val="24"/>
              </w:rPr>
            </w:pPr>
            <w:r>
              <w:rPr>
                <w:rFonts w:hint="eastAsia"/>
                <w:sz w:val="24"/>
                <w:szCs w:val="24"/>
              </w:rPr>
              <w:t>原辅材料、产品的运输及储存</w:t>
            </w:r>
          </w:p>
        </w:tc>
        <w:tc>
          <w:tcPr>
            <w:tcW w:w="3018" w:type="pct"/>
            <w:noWrap w:val="0"/>
            <w:vAlign w:val="center"/>
          </w:tcPr>
          <w:p>
            <w:pPr>
              <w:rPr>
                <w:rFonts w:hint="eastAsia"/>
                <w:sz w:val="24"/>
                <w:szCs w:val="24"/>
              </w:rPr>
            </w:pPr>
            <w:r>
              <w:rPr>
                <w:rFonts w:hint="eastAsia"/>
                <w:sz w:val="24"/>
                <w:szCs w:val="24"/>
              </w:rPr>
              <w:t>氧化铝仓库、新鲜氧化铝贮槽、铝锭堆场、皮带输送系统</w:t>
            </w:r>
          </w:p>
          <w:p>
            <w:pPr>
              <w:rPr>
                <w:rFonts w:hint="eastAsia"/>
                <w:sz w:val="24"/>
                <w:szCs w:val="24"/>
              </w:rPr>
            </w:pPr>
            <w:r>
              <w:rPr>
                <w:rFonts w:hint="eastAsia"/>
                <w:sz w:val="24"/>
                <w:szCs w:val="24"/>
              </w:rPr>
              <w:t>危害因素：噪声、氧化铝粉尘</w:t>
            </w:r>
          </w:p>
        </w:tc>
        <w:tc>
          <w:tcPr>
            <w:tcW w:w="501" w:type="pct"/>
            <w:noWrap w:val="0"/>
            <w:vAlign w:val="center"/>
          </w:tcPr>
          <w:p>
            <w:pPr>
              <w:rPr>
                <w:rFonts w:hint="eastAsia"/>
                <w:w w:val="95"/>
                <w:sz w:val="24"/>
                <w:szCs w:val="24"/>
              </w:rPr>
            </w:pPr>
            <w:r>
              <w:rPr>
                <w:rFonts w:hint="eastAsia"/>
                <w:w w:val="95"/>
                <w:sz w:val="24"/>
                <w:szCs w:val="24"/>
              </w:rPr>
              <w:t>——</w:t>
            </w:r>
          </w:p>
        </w:tc>
      </w:tr>
    </w:tbl>
    <w:p>
      <w:pPr>
        <w:rPr>
          <w:rFonts w:hint="eastAsia" w:ascii="宋体" w:hAnsi="宋体"/>
          <w:b/>
          <w:sz w:val="30"/>
          <w:szCs w:val="30"/>
        </w:rPr>
      </w:pPr>
      <w:r>
        <w:rPr>
          <w:rFonts w:hint="eastAsia" w:ascii="宋体" w:hAnsi="宋体"/>
          <w:b/>
          <w:sz w:val="30"/>
          <w:szCs w:val="30"/>
        </w:rPr>
        <w:t>4、华云质检中心</w:t>
      </w:r>
    </w:p>
    <w:tbl>
      <w:tblPr>
        <w:tblStyle w:val="54"/>
        <w:tblW w:w="8413"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252"/>
        <w:gridCol w:w="1440"/>
        <w:gridCol w:w="636"/>
        <w:gridCol w:w="1164"/>
        <w:gridCol w:w="1144"/>
        <w:gridCol w:w="121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413" w:type="dxa"/>
            <w:gridSpan w:val="8"/>
            <w:noWrap w:val="0"/>
            <w:vAlign w:val="center"/>
          </w:tcPr>
          <w:p>
            <w:pPr>
              <w:rPr>
                <w:rFonts w:hint="eastAsia"/>
                <w:bCs/>
                <w:sz w:val="24"/>
                <w:szCs w:val="24"/>
              </w:rPr>
            </w:pPr>
            <w:r>
              <w:rPr>
                <w:rFonts w:hint="eastAsia"/>
                <w:bCs/>
                <w:sz w:val="24"/>
                <w:szCs w:val="24"/>
              </w:rPr>
              <w:t>华云质检中心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16" w:type="dxa"/>
            <w:noWrap w:val="0"/>
            <w:vAlign w:val="center"/>
          </w:tcPr>
          <w:p>
            <w:pPr>
              <w:rPr>
                <w:rFonts w:hint="eastAsia"/>
                <w:bCs/>
                <w:sz w:val="24"/>
                <w:szCs w:val="24"/>
              </w:rPr>
            </w:pPr>
            <w:r>
              <w:rPr>
                <w:rFonts w:hint="eastAsia"/>
                <w:bCs/>
                <w:sz w:val="24"/>
                <w:szCs w:val="24"/>
              </w:rPr>
              <w:t>序号</w:t>
            </w:r>
          </w:p>
        </w:tc>
        <w:tc>
          <w:tcPr>
            <w:tcW w:w="1252" w:type="dxa"/>
            <w:noWrap w:val="0"/>
            <w:vAlign w:val="center"/>
          </w:tcPr>
          <w:p>
            <w:pPr>
              <w:rPr>
                <w:rFonts w:hint="eastAsia"/>
                <w:bCs/>
                <w:sz w:val="24"/>
                <w:szCs w:val="24"/>
              </w:rPr>
            </w:pPr>
            <w:r>
              <w:rPr>
                <w:rFonts w:hint="eastAsia"/>
                <w:bCs/>
                <w:sz w:val="24"/>
                <w:szCs w:val="24"/>
              </w:rPr>
              <w:t>设置地点</w:t>
            </w:r>
          </w:p>
        </w:tc>
        <w:tc>
          <w:tcPr>
            <w:tcW w:w="1440" w:type="dxa"/>
            <w:noWrap w:val="0"/>
            <w:vAlign w:val="center"/>
          </w:tcPr>
          <w:p>
            <w:pPr>
              <w:rPr>
                <w:rFonts w:hint="eastAsia"/>
                <w:bCs/>
                <w:sz w:val="24"/>
                <w:szCs w:val="24"/>
              </w:rPr>
            </w:pPr>
            <w:r>
              <w:rPr>
                <w:rFonts w:hint="eastAsia"/>
                <w:bCs/>
                <w:sz w:val="24"/>
                <w:szCs w:val="24"/>
              </w:rPr>
              <w:t>设备名称</w:t>
            </w:r>
          </w:p>
        </w:tc>
        <w:tc>
          <w:tcPr>
            <w:tcW w:w="636" w:type="dxa"/>
            <w:noWrap w:val="0"/>
            <w:vAlign w:val="center"/>
          </w:tcPr>
          <w:p>
            <w:pPr>
              <w:rPr>
                <w:rFonts w:hint="eastAsia"/>
                <w:bCs/>
                <w:sz w:val="24"/>
                <w:szCs w:val="24"/>
              </w:rPr>
            </w:pPr>
            <w:r>
              <w:rPr>
                <w:rFonts w:hint="eastAsia"/>
                <w:bCs/>
                <w:sz w:val="24"/>
                <w:szCs w:val="24"/>
              </w:rPr>
              <w:t>数量</w:t>
            </w:r>
          </w:p>
        </w:tc>
        <w:tc>
          <w:tcPr>
            <w:tcW w:w="1164" w:type="dxa"/>
            <w:noWrap w:val="0"/>
            <w:vAlign w:val="center"/>
          </w:tcPr>
          <w:p>
            <w:pPr>
              <w:rPr>
                <w:rFonts w:hint="eastAsia"/>
                <w:bCs/>
                <w:sz w:val="24"/>
                <w:szCs w:val="24"/>
              </w:rPr>
            </w:pPr>
            <w:r>
              <w:rPr>
                <w:rFonts w:hint="eastAsia"/>
                <w:bCs/>
                <w:sz w:val="24"/>
                <w:szCs w:val="24"/>
              </w:rPr>
              <w:t>危害因素</w:t>
            </w:r>
          </w:p>
        </w:tc>
        <w:tc>
          <w:tcPr>
            <w:tcW w:w="1144" w:type="dxa"/>
            <w:noWrap w:val="0"/>
            <w:vAlign w:val="center"/>
          </w:tcPr>
          <w:p>
            <w:pPr>
              <w:rPr>
                <w:rFonts w:hint="eastAsia"/>
                <w:bCs/>
                <w:sz w:val="24"/>
                <w:szCs w:val="24"/>
              </w:rPr>
            </w:pPr>
            <w:r>
              <w:rPr>
                <w:rFonts w:hint="eastAsia"/>
                <w:bCs/>
                <w:sz w:val="24"/>
                <w:szCs w:val="24"/>
              </w:rPr>
              <w:t>工序</w:t>
            </w:r>
          </w:p>
        </w:tc>
        <w:tc>
          <w:tcPr>
            <w:tcW w:w="1210" w:type="dxa"/>
            <w:noWrap w:val="0"/>
            <w:vAlign w:val="center"/>
          </w:tcPr>
          <w:p>
            <w:pPr>
              <w:rPr>
                <w:rFonts w:hint="eastAsia"/>
                <w:bCs/>
                <w:sz w:val="24"/>
                <w:szCs w:val="24"/>
              </w:rPr>
            </w:pPr>
          </w:p>
          <w:p>
            <w:pPr>
              <w:rPr>
                <w:rFonts w:hint="eastAsia"/>
                <w:bCs/>
                <w:sz w:val="24"/>
                <w:szCs w:val="24"/>
              </w:rPr>
            </w:pPr>
            <w:r>
              <w:rPr>
                <w:rFonts w:hint="eastAsia"/>
                <w:bCs/>
                <w:sz w:val="24"/>
                <w:szCs w:val="24"/>
              </w:rPr>
              <w:t>建筑</w:t>
            </w:r>
          </w:p>
          <w:p>
            <w:pPr>
              <w:rPr>
                <w:rFonts w:hint="eastAsia"/>
                <w:bCs/>
                <w:sz w:val="24"/>
                <w:szCs w:val="24"/>
              </w:rPr>
            </w:pPr>
            <w:r>
              <w:rPr>
                <w:rFonts w:hint="eastAsia"/>
                <w:bCs/>
                <w:sz w:val="24"/>
                <w:szCs w:val="24"/>
              </w:rPr>
              <w:t>面积</w:t>
            </w:r>
          </w:p>
          <w:p>
            <w:pPr>
              <w:rPr>
                <w:rFonts w:hint="eastAsia"/>
                <w:bCs/>
                <w:sz w:val="24"/>
                <w:szCs w:val="24"/>
              </w:rPr>
            </w:pPr>
          </w:p>
        </w:tc>
        <w:tc>
          <w:tcPr>
            <w:tcW w:w="851" w:type="dxa"/>
            <w:noWrap w:val="0"/>
            <w:vAlign w:val="center"/>
          </w:tcPr>
          <w:p>
            <w:pPr>
              <w:rPr>
                <w:rFonts w:hint="eastAsia"/>
                <w:bCs/>
                <w:sz w:val="24"/>
                <w:szCs w:val="24"/>
              </w:rPr>
            </w:pPr>
            <w:r>
              <w:rPr>
                <w:rFonts w:hint="eastAsia"/>
                <w:bCs/>
                <w:sz w:val="24"/>
                <w:szCs w:val="24"/>
              </w:rPr>
              <w:t>朝向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16" w:type="dxa"/>
            <w:noWrap w:val="0"/>
            <w:vAlign w:val="center"/>
          </w:tcPr>
          <w:p>
            <w:pPr>
              <w:rPr>
                <w:rFonts w:hint="eastAsia"/>
                <w:sz w:val="24"/>
                <w:szCs w:val="24"/>
              </w:rPr>
            </w:pPr>
            <w:r>
              <w:rPr>
                <w:rFonts w:hint="eastAsia"/>
                <w:sz w:val="24"/>
                <w:szCs w:val="24"/>
              </w:rPr>
              <w:t>1</w:t>
            </w:r>
          </w:p>
        </w:tc>
        <w:tc>
          <w:tcPr>
            <w:tcW w:w="1252" w:type="dxa"/>
            <w:noWrap w:val="0"/>
            <w:vAlign w:val="center"/>
          </w:tcPr>
          <w:p>
            <w:pPr>
              <w:rPr>
                <w:rFonts w:hint="eastAsia"/>
                <w:sz w:val="24"/>
                <w:szCs w:val="24"/>
              </w:rPr>
            </w:pPr>
            <w:r>
              <w:rPr>
                <w:rFonts w:hint="eastAsia"/>
                <w:sz w:val="24"/>
                <w:szCs w:val="24"/>
              </w:rPr>
              <w:t>华云一厂</w:t>
            </w:r>
          </w:p>
        </w:tc>
        <w:tc>
          <w:tcPr>
            <w:tcW w:w="1440" w:type="dxa"/>
            <w:noWrap w:val="0"/>
            <w:vAlign w:val="center"/>
          </w:tcPr>
          <w:p>
            <w:pPr>
              <w:rPr>
                <w:rFonts w:hint="eastAsia"/>
                <w:sz w:val="24"/>
                <w:szCs w:val="24"/>
              </w:rPr>
            </w:pPr>
            <w:r>
              <w:rPr>
                <w:rFonts w:hint="eastAsia"/>
                <w:sz w:val="24"/>
                <w:szCs w:val="24"/>
              </w:rPr>
              <w:t>直读光谱仪</w:t>
            </w:r>
          </w:p>
        </w:tc>
        <w:tc>
          <w:tcPr>
            <w:tcW w:w="636" w:type="dxa"/>
            <w:noWrap w:val="0"/>
            <w:vAlign w:val="center"/>
          </w:tcPr>
          <w:p>
            <w:pPr>
              <w:rPr>
                <w:rFonts w:hint="eastAsia"/>
                <w:sz w:val="24"/>
                <w:szCs w:val="24"/>
              </w:rPr>
            </w:pPr>
            <w:r>
              <w:rPr>
                <w:rFonts w:hint="eastAsia"/>
                <w:sz w:val="24"/>
                <w:szCs w:val="24"/>
              </w:rPr>
              <w:t>1</w:t>
            </w:r>
          </w:p>
        </w:tc>
        <w:tc>
          <w:tcPr>
            <w:tcW w:w="1164" w:type="dxa"/>
            <w:noWrap w:val="0"/>
            <w:vAlign w:val="center"/>
          </w:tcPr>
          <w:p>
            <w:pPr>
              <w:rPr>
                <w:rFonts w:hint="eastAsia"/>
                <w:sz w:val="24"/>
                <w:szCs w:val="24"/>
              </w:rPr>
            </w:pPr>
            <w:r>
              <w:rPr>
                <w:rFonts w:hint="eastAsia"/>
                <w:sz w:val="24"/>
                <w:szCs w:val="24"/>
              </w:rPr>
              <w:t>辐射</w:t>
            </w:r>
          </w:p>
        </w:tc>
        <w:tc>
          <w:tcPr>
            <w:tcW w:w="1144" w:type="dxa"/>
            <w:noWrap w:val="0"/>
            <w:vAlign w:val="center"/>
          </w:tcPr>
          <w:p>
            <w:pPr>
              <w:rPr>
                <w:rFonts w:hint="eastAsia"/>
                <w:sz w:val="24"/>
                <w:szCs w:val="24"/>
              </w:rPr>
            </w:pPr>
            <w:r>
              <w:rPr>
                <w:rFonts w:hint="eastAsia"/>
                <w:sz w:val="24"/>
                <w:szCs w:val="24"/>
              </w:rPr>
              <w:t>光谱分析</w:t>
            </w:r>
          </w:p>
        </w:tc>
        <w:tc>
          <w:tcPr>
            <w:tcW w:w="1210" w:type="dxa"/>
            <w:noWrap w:val="0"/>
            <w:vAlign w:val="center"/>
          </w:tcPr>
          <w:p>
            <w:pPr>
              <w:rPr>
                <w:rFonts w:hint="eastAsia"/>
                <w:sz w:val="24"/>
                <w:szCs w:val="24"/>
              </w:rPr>
            </w:pPr>
            <w:r>
              <w:rPr>
                <w:rFonts w:hint="eastAsia"/>
                <w:sz w:val="24"/>
                <w:szCs w:val="24"/>
              </w:rPr>
              <w:t>15平米</w:t>
            </w:r>
          </w:p>
        </w:tc>
        <w:tc>
          <w:tcPr>
            <w:tcW w:w="851" w:type="dxa"/>
            <w:noWrap w:val="0"/>
            <w:vAlign w:val="center"/>
          </w:tcPr>
          <w:p>
            <w:pPr>
              <w:rPr>
                <w:rFonts w:hint="eastAsia"/>
                <w:sz w:val="24"/>
                <w:szCs w:val="24"/>
              </w:rPr>
            </w:pPr>
            <w:r>
              <w:rPr>
                <w:rFonts w:hint="eastAsia"/>
                <w:sz w:val="24"/>
                <w:szCs w:val="24"/>
              </w:rPr>
              <w:t>东西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16" w:type="dxa"/>
            <w:noWrap w:val="0"/>
            <w:vAlign w:val="center"/>
          </w:tcPr>
          <w:p>
            <w:pPr>
              <w:rPr>
                <w:rFonts w:hint="eastAsia"/>
                <w:sz w:val="24"/>
                <w:szCs w:val="24"/>
              </w:rPr>
            </w:pPr>
            <w:r>
              <w:rPr>
                <w:rFonts w:hint="eastAsia"/>
                <w:sz w:val="24"/>
                <w:szCs w:val="24"/>
              </w:rPr>
              <w:t>2</w:t>
            </w:r>
          </w:p>
        </w:tc>
        <w:tc>
          <w:tcPr>
            <w:tcW w:w="1252" w:type="dxa"/>
            <w:noWrap w:val="0"/>
            <w:vAlign w:val="center"/>
          </w:tcPr>
          <w:p>
            <w:pPr>
              <w:rPr>
                <w:rFonts w:hint="eastAsia"/>
                <w:sz w:val="24"/>
                <w:szCs w:val="24"/>
              </w:rPr>
            </w:pPr>
            <w:r>
              <w:rPr>
                <w:rFonts w:hint="eastAsia"/>
                <w:sz w:val="24"/>
                <w:szCs w:val="24"/>
              </w:rPr>
              <w:t>华云二厂</w:t>
            </w:r>
          </w:p>
        </w:tc>
        <w:tc>
          <w:tcPr>
            <w:tcW w:w="1440" w:type="dxa"/>
            <w:noWrap w:val="0"/>
            <w:vAlign w:val="center"/>
          </w:tcPr>
          <w:p>
            <w:pPr>
              <w:rPr>
                <w:rFonts w:hint="eastAsia"/>
                <w:sz w:val="24"/>
                <w:szCs w:val="24"/>
              </w:rPr>
            </w:pPr>
            <w:r>
              <w:rPr>
                <w:rFonts w:hint="eastAsia"/>
                <w:sz w:val="24"/>
                <w:szCs w:val="24"/>
              </w:rPr>
              <w:t>直读光谱仪</w:t>
            </w:r>
          </w:p>
        </w:tc>
        <w:tc>
          <w:tcPr>
            <w:tcW w:w="636" w:type="dxa"/>
            <w:noWrap w:val="0"/>
            <w:vAlign w:val="center"/>
          </w:tcPr>
          <w:p>
            <w:pPr>
              <w:rPr>
                <w:rFonts w:hint="eastAsia"/>
                <w:sz w:val="24"/>
                <w:szCs w:val="24"/>
              </w:rPr>
            </w:pPr>
            <w:r>
              <w:rPr>
                <w:rFonts w:hint="eastAsia"/>
                <w:sz w:val="24"/>
                <w:szCs w:val="24"/>
              </w:rPr>
              <w:t>1</w:t>
            </w:r>
          </w:p>
        </w:tc>
        <w:tc>
          <w:tcPr>
            <w:tcW w:w="1164" w:type="dxa"/>
            <w:noWrap w:val="0"/>
            <w:vAlign w:val="center"/>
          </w:tcPr>
          <w:p>
            <w:pPr>
              <w:rPr>
                <w:rFonts w:hint="eastAsia"/>
                <w:sz w:val="24"/>
                <w:szCs w:val="24"/>
              </w:rPr>
            </w:pPr>
            <w:r>
              <w:rPr>
                <w:rFonts w:hint="eastAsia"/>
                <w:sz w:val="24"/>
                <w:szCs w:val="24"/>
              </w:rPr>
              <w:t>辐射</w:t>
            </w:r>
          </w:p>
        </w:tc>
        <w:tc>
          <w:tcPr>
            <w:tcW w:w="1144" w:type="dxa"/>
            <w:noWrap w:val="0"/>
            <w:vAlign w:val="center"/>
          </w:tcPr>
          <w:p>
            <w:pPr>
              <w:rPr>
                <w:rFonts w:hint="eastAsia"/>
                <w:sz w:val="24"/>
                <w:szCs w:val="24"/>
              </w:rPr>
            </w:pPr>
            <w:r>
              <w:rPr>
                <w:rFonts w:hint="eastAsia"/>
                <w:sz w:val="24"/>
                <w:szCs w:val="24"/>
              </w:rPr>
              <w:t>光谱分析</w:t>
            </w:r>
          </w:p>
        </w:tc>
        <w:tc>
          <w:tcPr>
            <w:tcW w:w="1210" w:type="dxa"/>
            <w:noWrap w:val="0"/>
            <w:vAlign w:val="center"/>
          </w:tcPr>
          <w:p>
            <w:pPr>
              <w:rPr>
                <w:rFonts w:hint="eastAsia"/>
                <w:sz w:val="24"/>
                <w:szCs w:val="24"/>
              </w:rPr>
            </w:pPr>
            <w:r>
              <w:rPr>
                <w:rFonts w:hint="eastAsia"/>
                <w:sz w:val="24"/>
                <w:szCs w:val="24"/>
              </w:rPr>
              <w:t>20平米</w:t>
            </w:r>
          </w:p>
        </w:tc>
        <w:tc>
          <w:tcPr>
            <w:tcW w:w="851" w:type="dxa"/>
            <w:noWrap w:val="0"/>
            <w:vAlign w:val="center"/>
          </w:tcPr>
          <w:p>
            <w:pPr>
              <w:rPr>
                <w:rFonts w:hint="eastAsia"/>
                <w:sz w:val="24"/>
                <w:szCs w:val="24"/>
              </w:rPr>
            </w:pPr>
            <w:r>
              <w:rPr>
                <w:rFonts w:hint="eastAsia"/>
                <w:sz w:val="24"/>
                <w:szCs w:val="24"/>
              </w:rPr>
              <w:t>东西</w:t>
            </w:r>
          </w:p>
        </w:tc>
      </w:tr>
    </w:tbl>
    <w:p>
      <w:pPr>
        <w:pStyle w:val="2"/>
        <w:ind w:firstLine="560"/>
        <w:rPr>
          <w:rFonts w:hint="eastAsia"/>
          <w:lang w:bidi="ar"/>
        </w:rPr>
      </w:pPr>
    </w:p>
    <w:p>
      <w:pPr>
        <w:pStyle w:val="2"/>
        <w:spacing w:after="0"/>
        <w:ind w:left="0" w:leftChars="0" w:firstLine="0" w:firstLineChars="0"/>
        <w:rPr>
          <w:rFonts w:hint="eastAsia" w:ascii="黑体" w:hAnsi="黑体" w:eastAsia="黑体" w:cs="黑体"/>
          <w:b/>
          <w:color w:val="000000"/>
          <w:kern w:val="0"/>
          <w:sz w:val="30"/>
          <w:szCs w:val="30"/>
          <w:lang w:bidi="ar"/>
        </w:rPr>
      </w:pPr>
      <w:r>
        <w:rPr>
          <w:rFonts w:hint="eastAsia" w:ascii="黑体" w:hAnsi="黑体" w:eastAsia="黑体" w:cs="黑体"/>
          <w:b/>
          <w:color w:val="000000"/>
          <w:kern w:val="0"/>
          <w:sz w:val="30"/>
          <w:szCs w:val="30"/>
          <w:lang w:eastAsia="zh-CN" w:bidi="ar"/>
        </w:rPr>
        <w:t>（二）</w:t>
      </w:r>
      <w:r>
        <w:rPr>
          <w:rFonts w:hint="eastAsia" w:ascii="黑体" w:hAnsi="黑体" w:eastAsia="黑体" w:cs="黑体"/>
          <w:b/>
          <w:color w:val="000000"/>
          <w:kern w:val="0"/>
          <w:sz w:val="30"/>
          <w:szCs w:val="30"/>
          <w:lang w:bidi="ar"/>
        </w:rPr>
        <w:t>日常检测重点作业场所点位明细表（季度检测项目）</w:t>
      </w:r>
    </w:p>
    <w:tbl>
      <w:tblPr>
        <w:tblStyle w:val="54"/>
        <w:tblpPr w:leftFromText="180" w:rightFromText="180" w:vertAnchor="text" w:horzAnchor="page" w:tblpX="1120" w:tblpY="912"/>
        <w:tblOverlap w:val="never"/>
        <w:tblW w:w="94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026"/>
        <w:gridCol w:w="2460"/>
        <w:gridCol w:w="2659"/>
        <w:gridCol w:w="25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序号</w:t>
            </w:r>
          </w:p>
        </w:tc>
        <w:tc>
          <w:tcPr>
            <w:tcW w:w="1026" w:type="dxa"/>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分厂</w:t>
            </w:r>
          </w:p>
        </w:tc>
        <w:tc>
          <w:tcPr>
            <w:tcW w:w="2460" w:type="dxa"/>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车间</w:t>
            </w:r>
          </w:p>
        </w:tc>
        <w:tc>
          <w:tcPr>
            <w:tcW w:w="2659" w:type="dxa"/>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采样地点</w:t>
            </w:r>
          </w:p>
        </w:tc>
        <w:tc>
          <w:tcPr>
            <w:tcW w:w="2593" w:type="dxa"/>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检测项目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1026" w:type="dxa"/>
            <w:vMerge w:val="restart"/>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华云热电厂</w:t>
            </w:r>
          </w:p>
        </w:tc>
        <w:tc>
          <w:tcPr>
            <w:tcW w:w="2460" w:type="dxa"/>
            <w:vMerge w:val="restart"/>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输煤运行 </w:t>
            </w: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1#皮带头</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2#皮带头</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3#皮带头</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4#皮带头</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5#皮带头</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6#皮带头</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7#皮带头</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restart"/>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锅炉与汽轮系统</w:t>
            </w: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1#炉给煤机平台</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1#炉磨煤机平台</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2#炉给煤机平台</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2#炉磨煤机平台</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1#汽轮机</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1#发电机</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2#汽轮机</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2#发电机</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推煤机</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装载机</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w:t>
            </w:r>
          </w:p>
        </w:tc>
        <w:tc>
          <w:tcPr>
            <w:tcW w:w="1026" w:type="dxa"/>
            <w:vMerge w:val="restart"/>
            <w:tcBorders>
              <w:tl2br w:val="nil"/>
              <w:tr2bl w:val="nil"/>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color w:val="000000"/>
                <w:kern w:val="0"/>
                <w:szCs w:val="21"/>
                <w:lang w:bidi="ar"/>
              </w:rPr>
            </w:pPr>
          </w:p>
          <w:p>
            <w:pPr>
              <w:widowControl/>
              <w:jc w:val="center"/>
              <w:textAlignment w:val="center"/>
              <w:rPr>
                <w:rFonts w:ascii="仿宋_GB2312" w:hAnsi="仿宋_GB2312" w:eastAsia="仿宋_GB2312" w:cs="仿宋_GB2312"/>
                <w:color w:val="000000"/>
                <w:kern w:val="0"/>
                <w:szCs w:val="21"/>
                <w:lang w:bidi="ar"/>
              </w:rPr>
            </w:pPr>
          </w:p>
          <w:p>
            <w:pPr>
              <w:widowControl/>
              <w:jc w:val="center"/>
              <w:textAlignment w:val="center"/>
              <w:rPr>
                <w:rFonts w:ascii="仿宋_GB2312" w:hAnsi="仿宋_GB2312" w:eastAsia="仿宋_GB2312" w:cs="仿宋_GB2312"/>
                <w:color w:val="000000"/>
                <w:kern w:val="0"/>
                <w:szCs w:val="21"/>
                <w:lang w:bidi="ar"/>
              </w:rPr>
            </w:pPr>
          </w:p>
          <w:p>
            <w:pPr>
              <w:widowControl/>
              <w:jc w:val="center"/>
              <w:textAlignment w:val="center"/>
              <w:rPr>
                <w:rFonts w:ascii="仿宋_GB2312" w:hAnsi="仿宋_GB2312" w:eastAsia="仿宋_GB2312" w:cs="仿宋_GB2312"/>
                <w:color w:val="000000"/>
                <w:kern w:val="0"/>
                <w:szCs w:val="21"/>
                <w:lang w:bidi="ar"/>
              </w:rPr>
            </w:pPr>
          </w:p>
          <w:p>
            <w:pPr>
              <w:widowControl/>
              <w:jc w:val="center"/>
              <w:textAlignment w:val="center"/>
              <w:rPr>
                <w:rFonts w:ascii="仿宋_GB2312" w:hAnsi="仿宋_GB2312" w:eastAsia="仿宋_GB2312" w:cs="仿宋_GB2312"/>
                <w:color w:val="000000"/>
                <w:kern w:val="0"/>
                <w:szCs w:val="21"/>
                <w:lang w:bidi="ar"/>
              </w:rPr>
            </w:pPr>
          </w:p>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华云电解一厂</w:t>
            </w:r>
          </w:p>
        </w:tc>
        <w:tc>
          <w:tcPr>
            <w:tcW w:w="2460" w:type="dxa"/>
            <w:vMerge w:val="restart"/>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电解北区</w:t>
            </w: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换极处</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氟化物、氧化铝粉尘、噪声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换极处</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氟化物、氧化铝粉尘、噪声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restart"/>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电解南区</w:t>
            </w: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换极处</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氟化物、氧化铝粉尘、噪声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21</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换极处</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氟化物、氧化铝粉尘、噪声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22</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restart"/>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铸造车间</w:t>
            </w: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清包间</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铝合金粉尘、噪声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23</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炒灰间</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铝合金粉尘、噪声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24</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restart"/>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组装区</w:t>
            </w: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浇铸处</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其他粉尘、噪声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25</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中频炉</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其他粉尘、噪声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26</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装卸站</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炭黑粉尘、噪声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27</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手动残极清破处</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炭黑粉尘、噪声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28</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残极压脱处</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炭黑粉尘、噪声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29</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磷铁压脱操作位</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其他粉尘、噪声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30</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清渣台</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其他粉尘、噪声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31</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restart"/>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辅助单元</w:t>
            </w: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空压机房</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32</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烟气净化脱硫塔处</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粉尘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33</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烟气净化引风机风机旁</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w:t>
            </w:r>
            <w:r>
              <w:rPr>
                <w:rFonts w:ascii="仿宋_GB2312" w:hAnsi="仿宋_GB2312" w:eastAsia="仿宋_GB2312" w:cs="仿宋_GB2312"/>
                <w:color w:val="000000"/>
                <w:kern w:val="0"/>
                <w:szCs w:val="21"/>
                <w:lang w:bidi="ar"/>
              </w:rPr>
              <w:t>4</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冷却循环水车间泵旁</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w:t>
            </w:r>
            <w:r>
              <w:rPr>
                <w:rFonts w:ascii="仿宋_GB2312" w:hAnsi="仿宋_GB2312" w:eastAsia="仿宋_GB2312" w:cs="仿宋_GB2312"/>
                <w:color w:val="000000"/>
                <w:kern w:val="0"/>
                <w:szCs w:val="21"/>
                <w:lang w:bidi="ar"/>
              </w:rPr>
              <w:t>5</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氧化铝仓库</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氧化铝粉尘、噪声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36</w:t>
            </w:r>
          </w:p>
        </w:tc>
        <w:tc>
          <w:tcPr>
            <w:tcW w:w="1026" w:type="dxa"/>
            <w:vMerge w:val="restart"/>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kern w:val="0"/>
                <w:szCs w:val="21"/>
                <w:lang w:bidi="ar"/>
              </w:rPr>
            </w:pPr>
          </w:p>
          <w:p>
            <w:pPr>
              <w:widowControl/>
              <w:jc w:val="center"/>
              <w:textAlignment w:val="center"/>
              <w:rPr>
                <w:rFonts w:hint="eastAsia" w:ascii="仿宋_GB2312" w:hAnsi="仿宋_GB2312" w:eastAsia="仿宋_GB2312" w:cs="仿宋_GB2312"/>
                <w:color w:val="000000"/>
                <w:kern w:val="0"/>
                <w:szCs w:val="21"/>
                <w:lang w:bidi="ar"/>
              </w:rPr>
            </w:pPr>
          </w:p>
          <w:p>
            <w:pPr>
              <w:widowControl/>
              <w:jc w:val="center"/>
              <w:textAlignment w:val="center"/>
              <w:rPr>
                <w:rFonts w:ascii="仿宋_GB2312" w:hAnsi="仿宋_GB2312" w:eastAsia="仿宋_GB2312" w:cs="仿宋_GB2312"/>
                <w:color w:val="000000"/>
                <w:kern w:val="0"/>
                <w:szCs w:val="21"/>
                <w:lang w:bidi="ar"/>
              </w:rPr>
            </w:pPr>
          </w:p>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云电解二厂</w:t>
            </w:r>
          </w:p>
        </w:tc>
        <w:tc>
          <w:tcPr>
            <w:tcW w:w="2460" w:type="dxa"/>
            <w:vMerge w:val="restart"/>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电解北区</w:t>
            </w: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换极处</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氟化物、氧化铝粉尘、噪声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37</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天车操作位</w:t>
            </w:r>
          </w:p>
        </w:tc>
        <w:tc>
          <w:tcPr>
            <w:tcW w:w="2593"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氟化物、氧化铝粉尘、噪声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38</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restart"/>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电解南区</w:t>
            </w: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换极处</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氟化物、氧化铝粉尘、噪声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39</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天车操作位</w:t>
            </w:r>
          </w:p>
        </w:tc>
        <w:tc>
          <w:tcPr>
            <w:tcW w:w="2593"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氟化物、氧化铝粉尘、噪声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40</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restart"/>
            <w:tcBorders>
              <w:tl2br w:val="nil"/>
              <w:tr2bl w:val="nil"/>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color w:val="000000"/>
                <w:kern w:val="0"/>
                <w:szCs w:val="21"/>
                <w:lang w:bidi="ar"/>
              </w:rPr>
            </w:pPr>
          </w:p>
          <w:p>
            <w:pPr>
              <w:widowControl/>
              <w:jc w:val="center"/>
              <w:textAlignment w:val="center"/>
              <w:rPr>
                <w:rFonts w:ascii="仿宋_GB2312" w:hAnsi="仿宋_GB2312" w:eastAsia="仿宋_GB2312" w:cs="仿宋_GB2312"/>
                <w:color w:val="000000"/>
                <w:kern w:val="0"/>
                <w:szCs w:val="21"/>
                <w:lang w:bidi="ar"/>
              </w:rPr>
            </w:pPr>
          </w:p>
          <w:p>
            <w:pPr>
              <w:widowControl/>
              <w:jc w:val="center"/>
              <w:textAlignment w:val="center"/>
              <w:rPr>
                <w:rFonts w:ascii="仿宋_GB2312" w:hAnsi="仿宋_GB2312" w:eastAsia="仿宋_GB2312" w:cs="仿宋_GB2312"/>
                <w:color w:val="000000"/>
                <w:kern w:val="0"/>
                <w:szCs w:val="21"/>
                <w:lang w:bidi="ar"/>
              </w:rPr>
            </w:pPr>
          </w:p>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组装区</w:t>
            </w: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手动浇铸处</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其他粉尘、噪声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41</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中频炉旁</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其他粉尘、噪声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42</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清渣平台</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氧化铝粉尘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43</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装卸平台</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氧化铝粉尘、噪声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44</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残极压脱处</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炭黑粉尘、噪声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45</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磷铁压脱操作位</w:t>
            </w:r>
          </w:p>
        </w:tc>
        <w:tc>
          <w:tcPr>
            <w:tcW w:w="2593"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炭黑粉尘、噪声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46</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叉车驾驶室</w:t>
            </w:r>
          </w:p>
        </w:tc>
        <w:tc>
          <w:tcPr>
            <w:tcW w:w="2593"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炭黑粉尘、噪声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4</w:t>
            </w:r>
            <w:r>
              <w:rPr>
                <w:rFonts w:ascii="仿宋_GB2312" w:hAnsi="仿宋_GB2312" w:eastAsia="仿宋_GB2312" w:cs="仿宋_GB2312"/>
                <w:color w:val="000000"/>
                <w:kern w:val="0"/>
                <w:szCs w:val="21"/>
                <w:lang w:bidi="ar"/>
              </w:rPr>
              <w:t>7</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restart"/>
            <w:tcBorders>
              <w:tl2br w:val="nil"/>
              <w:tr2bl w:val="nil"/>
            </w:tcBorders>
            <w:noWrap/>
            <w:tcMar>
              <w:top w:w="12" w:type="dxa"/>
              <w:left w:w="12" w:type="dxa"/>
              <w:right w:w="12" w:type="dxa"/>
            </w:tcMar>
            <w:vAlign w:val="center"/>
          </w:tcPr>
          <w:p>
            <w:pPr>
              <w:jc w:val="center"/>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辅助单元</w:t>
            </w: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清包间</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铝合金粉尘、噪声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48</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空压机房</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49</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烟气净化脱硫塔处</w:t>
            </w:r>
          </w:p>
        </w:tc>
        <w:tc>
          <w:tcPr>
            <w:tcW w:w="2593"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粉尘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50</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烟气净化引风机风机旁</w:t>
            </w:r>
          </w:p>
        </w:tc>
        <w:tc>
          <w:tcPr>
            <w:tcW w:w="2593"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51</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冷却循环水车间泵旁</w:t>
            </w:r>
          </w:p>
        </w:tc>
        <w:tc>
          <w:tcPr>
            <w:tcW w:w="2593"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9"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52</w:t>
            </w:r>
          </w:p>
        </w:tc>
        <w:tc>
          <w:tcPr>
            <w:tcW w:w="1026"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460" w:type="dxa"/>
            <w:vMerge w:val="continue"/>
            <w:tcBorders>
              <w:tl2br w:val="nil"/>
              <w:tr2bl w:val="nil"/>
            </w:tcBorders>
            <w:noWrap/>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659"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氧化铝仓库</w:t>
            </w:r>
          </w:p>
        </w:tc>
        <w:tc>
          <w:tcPr>
            <w:tcW w:w="2593"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氧化铝粉尘、噪声</w:t>
            </w:r>
          </w:p>
        </w:tc>
      </w:tr>
    </w:tbl>
    <w:p>
      <w:pPr>
        <w:pStyle w:val="49"/>
        <w:spacing w:before="0" w:beforeAutospacing="0" w:after="0" w:afterAutospacing="0" w:line="360" w:lineRule="atLeast"/>
        <w:rPr>
          <w:rFonts w:hint="eastAsia" w:ascii="仿宋_GB2312" w:eastAsia="仿宋_GB2312"/>
          <w:sz w:val="32"/>
          <w:szCs w:val="32"/>
        </w:rPr>
      </w:pPr>
      <w:r>
        <w:rPr>
          <w:rFonts w:hint="eastAsia" w:ascii="仿宋_GB2312" w:eastAsia="仿宋_GB2312"/>
          <w:sz w:val="32"/>
          <w:szCs w:val="32"/>
        </w:rPr>
        <w:t xml:space="preserve">                         </w:t>
      </w:r>
    </w:p>
    <w:p>
      <w:pPr>
        <w:rPr>
          <w:rFonts w:hint="eastAsia" w:ascii="宋体" w:hAnsi="宋体" w:eastAsia="宋体" w:cs="宋体"/>
          <w:sz w:val="24"/>
          <w:szCs w:val="24"/>
        </w:rPr>
      </w:pPr>
      <w:r>
        <w:rPr>
          <w:rFonts w:hint="eastAsia" w:ascii="宋体" w:hAnsi="宋体" w:eastAsia="宋体" w:cs="宋体"/>
          <w:sz w:val="24"/>
          <w:szCs w:val="24"/>
        </w:rPr>
        <w:t xml:space="preserve">                                </w:t>
      </w:r>
    </w:p>
    <w:p>
      <w:pPr>
        <w:pStyle w:val="49"/>
        <w:spacing w:before="0" w:beforeAutospacing="0" w:after="0" w:afterAutospacing="0" w:line="360" w:lineRule="atLeast"/>
        <w:rPr>
          <w:rFonts w:hint="eastAsia" w:ascii="宋体" w:hAnsi="宋体" w:eastAsia="宋体" w:cs="宋体"/>
          <w:sz w:val="24"/>
          <w:szCs w:val="24"/>
        </w:rPr>
      </w:pPr>
      <w:r>
        <w:rPr>
          <w:rFonts w:hint="eastAsia" w:ascii="宋体" w:hAnsi="宋体" w:eastAsia="宋体" w:cs="宋体"/>
          <w:sz w:val="24"/>
          <w:szCs w:val="24"/>
        </w:rPr>
        <w:t xml:space="preserve">                              </w:t>
      </w:r>
    </w:p>
    <w:p>
      <w:pPr>
        <w:widowControl/>
        <w:jc w:val="left"/>
        <w:rPr>
          <w:rFonts w:ascii="宋体" w:hAnsi="宋体"/>
          <w:b/>
          <w:sz w:val="44"/>
          <w:szCs w:val="44"/>
        </w:rPr>
      </w:pPr>
      <w:r>
        <w:rPr>
          <w:rFonts w:ascii="宋体" w:hAnsi="宋体"/>
          <w:b/>
          <w:sz w:val="44"/>
          <w:szCs w:val="44"/>
        </w:rPr>
        <w:br w:type="page"/>
      </w:r>
    </w:p>
    <w:p>
      <w:pPr>
        <w:widowControl/>
        <w:jc w:val="center"/>
        <w:rPr>
          <w:rFonts w:ascii="宋体" w:hAnsi="宋体"/>
          <w:b/>
          <w:sz w:val="44"/>
          <w:szCs w:val="44"/>
        </w:rPr>
      </w:pPr>
      <w:r>
        <w:rPr>
          <w:rFonts w:hint="eastAsia" w:ascii="宋体" w:hAnsi="宋体"/>
          <w:b/>
          <w:sz w:val="44"/>
          <w:szCs w:val="44"/>
        </w:rPr>
        <w:t>第六章  响应文件格式</w:t>
      </w:r>
    </w:p>
    <w:p>
      <w:pPr>
        <w:pStyle w:val="7"/>
        <w:spacing w:line="240" w:lineRule="auto"/>
        <w:ind w:firstLine="643" w:firstLineChars="200"/>
      </w:pPr>
      <w:r>
        <w:rPr>
          <w:bCs w:val="0"/>
        </w:rPr>
        <w:t>1：封面或扉页格式</w:t>
      </w:r>
    </w:p>
    <w:p>
      <w:pPr>
        <w:pStyle w:val="25"/>
        <w:ind w:firstLine="480" w:firstLineChars="200"/>
        <w:jc w:val="right"/>
        <w:rPr>
          <w:sz w:val="24"/>
        </w:rPr>
      </w:pPr>
      <w:r>
        <w:rPr>
          <w:sz w:val="24"/>
          <w:u w:val="single"/>
        </w:rPr>
        <w:t>　</w:t>
      </w:r>
      <w:r>
        <w:rPr>
          <w:rFonts w:hint="eastAsia"/>
          <w:sz w:val="24"/>
          <w:u w:val="single"/>
        </w:rPr>
        <w:t>正/副</w:t>
      </w:r>
      <w:r>
        <w:rPr>
          <w:sz w:val="24"/>
          <w:u w:val="single"/>
        </w:rPr>
        <w:t>　</w:t>
      </w:r>
      <w:r>
        <w:rPr>
          <w:sz w:val="24"/>
        </w:rPr>
        <w:t>本</w:t>
      </w:r>
    </w:p>
    <w:p>
      <w:pPr>
        <w:adjustRightInd w:val="0"/>
        <w:spacing w:line="360" w:lineRule="auto"/>
        <w:jc w:val="center"/>
        <w:rPr>
          <w:rFonts w:ascii="隶书" w:eastAsia="隶书"/>
          <w:b/>
          <w:sz w:val="44"/>
          <w:szCs w:val="44"/>
        </w:rPr>
      </w:pPr>
    </w:p>
    <w:p>
      <w:pPr>
        <w:adjustRightInd w:val="0"/>
        <w:spacing w:line="360" w:lineRule="auto"/>
        <w:jc w:val="center"/>
        <w:rPr>
          <w:rFonts w:ascii="隶书" w:eastAsia="隶书"/>
          <w:b/>
          <w:sz w:val="44"/>
          <w:szCs w:val="44"/>
        </w:rPr>
      </w:pPr>
      <w:r>
        <w:rPr>
          <w:rFonts w:hint="eastAsia" w:ascii="隶书" w:eastAsia="隶书"/>
          <w:b/>
          <w:sz w:val="44"/>
          <w:szCs w:val="44"/>
        </w:rPr>
        <w:t>包头铝业有限公司</w:t>
      </w:r>
    </w:p>
    <w:p>
      <w:pPr>
        <w:adjustRightInd w:val="0"/>
        <w:spacing w:line="360" w:lineRule="auto"/>
        <w:jc w:val="center"/>
        <w:rPr>
          <w:rFonts w:ascii="隶书" w:eastAsia="隶书"/>
          <w:b/>
          <w:sz w:val="44"/>
          <w:szCs w:val="44"/>
        </w:rPr>
      </w:pPr>
      <w:r>
        <w:rPr>
          <w:rFonts w:hint="eastAsia" w:ascii="隶书" w:eastAsia="隶书"/>
          <w:b/>
          <w:sz w:val="44"/>
          <w:szCs w:val="44"/>
        </w:rPr>
        <w:t>（项目名称）</w:t>
      </w:r>
    </w:p>
    <w:p>
      <w:pPr>
        <w:adjustRightInd w:val="0"/>
        <w:spacing w:line="360" w:lineRule="auto"/>
        <w:jc w:val="center"/>
        <w:rPr>
          <w:rFonts w:ascii="隶书" w:eastAsia="隶书"/>
          <w:b/>
          <w:sz w:val="44"/>
          <w:szCs w:val="44"/>
        </w:rPr>
      </w:pPr>
    </w:p>
    <w:p>
      <w:pPr>
        <w:adjustRightInd w:val="0"/>
        <w:spacing w:line="360" w:lineRule="auto"/>
        <w:jc w:val="center"/>
        <w:rPr>
          <w:rFonts w:ascii="隶书" w:eastAsia="隶书"/>
          <w:b/>
          <w:sz w:val="44"/>
          <w:szCs w:val="44"/>
        </w:rPr>
      </w:pPr>
    </w:p>
    <w:p>
      <w:pPr>
        <w:adjustRightInd w:val="0"/>
        <w:spacing w:line="360" w:lineRule="auto"/>
        <w:jc w:val="center"/>
        <w:rPr>
          <w:rFonts w:ascii="隶书" w:eastAsia="隶书"/>
          <w:b/>
          <w:sz w:val="44"/>
          <w:szCs w:val="44"/>
        </w:rPr>
      </w:pPr>
    </w:p>
    <w:p>
      <w:pPr>
        <w:adjustRightInd w:val="0"/>
        <w:spacing w:line="360" w:lineRule="auto"/>
        <w:jc w:val="center"/>
        <w:rPr>
          <w:rFonts w:ascii="隶书" w:eastAsia="隶书"/>
          <w:b/>
          <w:sz w:val="44"/>
          <w:szCs w:val="44"/>
        </w:rPr>
      </w:pPr>
      <w:r>
        <w:rPr>
          <w:rFonts w:hint="eastAsia" w:ascii="隶书" w:eastAsia="隶书"/>
          <w:b/>
          <w:sz w:val="44"/>
          <w:szCs w:val="44"/>
        </w:rPr>
        <w:t>响应文件</w:t>
      </w:r>
    </w:p>
    <w:p>
      <w:pPr>
        <w:adjustRightInd w:val="0"/>
        <w:spacing w:line="360" w:lineRule="auto"/>
        <w:rPr>
          <w:rFonts w:ascii="隶书" w:eastAsia="隶书"/>
          <w:b/>
          <w:sz w:val="72"/>
          <w:szCs w:val="72"/>
        </w:rPr>
      </w:pPr>
      <w:r>
        <w:rPr>
          <w:rFonts w:hint="eastAsia" w:ascii="隶书" w:eastAsia="隶书"/>
          <w:b/>
          <w:sz w:val="72"/>
          <w:szCs w:val="72"/>
        </w:rPr>
        <w:t xml:space="preserve">                     </w:t>
      </w:r>
    </w:p>
    <w:p>
      <w:pPr>
        <w:spacing w:line="360" w:lineRule="auto"/>
        <w:ind w:firstLine="1110" w:firstLineChars="395"/>
        <w:rPr>
          <w:rFonts w:ascii="宋体" w:hAnsi="宋体"/>
          <w:b/>
          <w:sz w:val="28"/>
          <w:u w:val="single"/>
        </w:rPr>
      </w:pPr>
      <w:r>
        <w:rPr>
          <w:rFonts w:hint="eastAsia" w:ascii="宋体" w:hAnsi="宋体"/>
          <w:b/>
          <w:sz w:val="28"/>
        </w:rPr>
        <w:t>采购编号：</w:t>
      </w:r>
    </w:p>
    <w:p>
      <w:pPr>
        <w:pStyle w:val="25"/>
        <w:spacing w:line="360" w:lineRule="auto"/>
        <w:ind w:firstLine="1105" w:firstLineChars="393"/>
        <w:rPr>
          <w:rFonts w:ascii="宋体" w:hAnsi="宋体"/>
          <w:b/>
          <w:sz w:val="28"/>
          <w:u w:val="single"/>
        </w:rPr>
      </w:pPr>
      <w:r>
        <w:rPr>
          <w:rFonts w:ascii="宋体" w:hAnsi="宋体"/>
          <w:b/>
          <w:sz w:val="28"/>
        </w:rPr>
        <w:t>法定代表人（或被授权人）：</w:t>
      </w:r>
      <w:r>
        <w:rPr>
          <w:rFonts w:ascii="宋体" w:hAnsi="宋体"/>
          <w:b/>
          <w:sz w:val="28"/>
          <w:u w:val="single"/>
        </w:rPr>
        <w:t xml:space="preserve">       （签字）</w:t>
      </w:r>
    </w:p>
    <w:p>
      <w:pPr>
        <w:pStyle w:val="25"/>
        <w:spacing w:line="360" w:lineRule="auto"/>
        <w:ind w:firstLine="1105" w:firstLineChars="393"/>
        <w:rPr>
          <w:rFonts w:ascii="宋体" w:hAnsi="宋体"/>
          <w:b/>
          <w:sz w:val="28"/>
          <w:u w:val="single"/>
        </w:rPr>
      </w:pPr>
      <w:r>
        <w:rPr>
          <w:rFonts w:hint="eastAsia" w:ascii="宋体" w:hAnsi="宋体"/>
          <w:b/>
          <w:sz w:val="28"/>
        </w:rPr>
        <w:t>响应单位</w:t>
      </w:r>
      <w:r>
        <w:rPr>
          <w:rFonts w:ascii="宋体" w:hAnsi="宋体"/>
          <w:b/>
          <w:sz w:val="28"/>
        </w:rPr>
        <w:t>：</w:t>
      </w:r>
      <w:r>
        <w:rPr>
          <w:rFonts w:ascii="宋体" w:hAnsi="宋体"/>
          <w:b/>
          <w:sz w:val="28"/>
          <w:u w:val="single"/>
        </w:rPr>
        <w:t>（名称及盖章）</w:t>
      </w:r>
      <w:r>
        <w:rPr>
          <w:rFonts w:hint="eastAsia" w:ascii="宋体" w:hAnsi="宋体"/>
          <w:b/>
          <w:sz w:val="28"/>
          <w:u w:val="single"/>
        </w:rPr>
        <w:t xml:space="preserve">                     </w:t>
      </w:r>
    </w:p>
    <w:p>
      <w:pPr>
        <w:pStyle w:val="25"/>
        <w:ind w:firstLine="560" w:firstLineChars="200"/>
        <w:jc w:val="center"/>
        <w:rPr>
          <w:sz w:val="28"/>
          <w:u w:val="single"/>
        </w:rPr>
      </w:pPr>
    </w:p>
    <w:p>
      <w:pPr>
        <w:pStyle w:val="25"/>
        <w:ind w:firstLine="560" w:firstLineChars="200"/>
        <w:jc w:val="center"/>
        <w:rPr>
          <w:sz w:val="28"/>
          <w:u w:val="single"/>
        </w:rPr>
      </w:pPr>
    </w:p>
    <w:p>
      <w:pPr>
        <w:pStyle w:val="25"/>
        <w:ind w:firstLine="562" w:firstLineChars="200"/>
        <w:jc w:val="center"/>
        <w:rPr>
          <w:rFonts w:ascii="宋体" w:hAnsi="宋体"/>
          <w:b/>
          <w:sz w:val="36"/>
          <w:u w:val="single"/>
        </w:rPr>
      </w:pPr>
      <w:r>
        <w:rPr>
          <w:rFonts w:ascii="宋体" w:hAnsi="宋体"/>
          <w:b/>
          <w:sz w:val="28"/>
        </w:rPr>
        <w:t>二Ο二Ο年   月    日</w:t>
      </w:r>
    </w:p>
    <w:p>
      <w:pPr>
        <w:pStyle w:val="25"/>
        <w:ind w:firstLine="480" w:firstLineChars="200"/>
        <w:rPr>
          <w:sz w:val="24"/>
        </w:rPr>
      </w:pPr>
    </w:p>
    <w:p>
      <w:pPr>
        <w:adjustRightInd w:val="0"/>
        <w:snapToGrid w:val="0"/>
        <w:spacing w:line="300" w:lineRule="auto"/>
        <w:jc w:val="center"/>
        <w:rPr>
          <w:rFonts w:ascii="宋体" w:hAnsi="宋体"/>
          <w:b/>
          <w:sz w:val="32"/>
          <w:szCs w:val="32"/>
        </w:rPr>
      </w:pPr>
    </w:p>
    <w:p>
      <w:pPr>
        <w:adjustRightInd w:val="0"/>
        <w:snapToGrid w:val="0"/>
        <w:spacing w:line="300" w:lineRule="auto"/>
        <w:jc w:val="center"/>
        <w:rPr>
          <w:rFonts w:ascii="宋体"/>
          <w:b/>
          <w:sz w:val="32"/>
          <w:szCs w:val="32"/>
        </w:rPr>
      </w:pPr>
      <w:r>
        <w:rPr>
          <w:rFonts w:ascii="宋体" w:hAnsi="宋体"/>
          <w:b/>
          <w:sz w:val="32"/>
          <w:szCs w:val="32"/>
        </w:rPr>
        <w:br w:type="page"/>
      </w:r>
      <w:r>
        <w:rPr>
          <w:rFonts w:hint="eastAsia" w:ascii="宋体" w:hAnsi="宋体"/>
          <w:b/>
          <w:sz w:val="32"/>
          <w:szCs w:val="32"/>
        </w:rPr>
        <w:t>报 价 函</w:t>
      </w:r>
    </w:p>
    <w:p>
      <w:pPr>
        <w:spacing w:line="360" w:lineRule="auto"/>
        <w:rPr>
          <w:rFonts w:ascii="宋体"/>
          <w:sz w:val="24"/>
        </w:rPr>
      </w:pPr>
      <w:r>
        <w:rPr>
          <w:rFonts w:hint="eastAsia" w:ascii="宋体"/>
          <w:sz w:val="24"/>
        </w:rPr>
        <w:t>包头铝业有限公司：</w:t>
      </w:r>
    </w:p>
    <w:p>
      <w:pPr>
        <w:spacing w:line="420" w:lineRule="exact"/>
        <w:ind w:firstLine="424" w:firstLineChars="177"/>
        <w:jc w:val="left"/>
        <w:rPr>
          <w:rFonts w:ascii="宋体" w:hAnsi="宋体"/>
          <w:sz w:val="24"/>
        </w:rPr>
      </w:pPr>
      <w:r>
        <w:rPr>
          <w:rFonts w:ascii="宋体" w:hAnsi="宋体"/>
          <w:sz w:val="24"/>
        </w:rPr>
        <w:t>1．我方已仔细研究了</w:t>
      </w:r>
      <w:r>
        <w:rPr>
          <w:rFonts w:hint="eastAsia" w:ascii="宋体" w:hAnsi="宋体"/>
          <w:sz w:val="24"/>
          <w:szCs w:val="24"/>
          <w:u w:val="single"/>
        </w:rPr>
        <w:t xml:space="preserve">              </w:t>
      </w:r>
      <w:r>
        <w:rPr>
          <w:rFonts w:hint="eastAsia" w:ascii="宋体" w:hAnsi="宋体"/>
          <w:sz w:val="24"/>
          <w:szCs w:val="24"/>
        </w:rPr>
        <w:t>项目</w:t>
      </w:r>
      <w:r>
        <w:rPr>
          <w:rFonts w:hint="eastAsia" w:ascii="宋体" w:hAnsi="宋体"/>
          <w:snapToGrid w:val="0"/>
          <w:sz w:val="24"/>
          <w:szCs w:val="24"/>
        </w:rPr>
        <w:t>（</w:t>
      </w:r>
      <w:r>
        <w:rPr>
          <w:rFonts w:hint="eastAsia" w:ascii="宋体" w:hAnsi="宋体"/>
          <w:sz w:val="24"/>
        </w:rPr>
        <w:t>采购编号：</w:t>
      </w:r>
      <w:r>
        <w:rPr>
          <w:rFonts w:hint="eastAsia" w:ascii="宋体" w:hAnsi="宋体"/>
          <w:sz w:val="24"/>
          <w:u w:val="single"/>
        </w:rPr>
        <w:t xml:space="preserve">       </w:t>
      </w:r>
      <w:r>
        <w:rPr>
          <w:rFonts w:hint="eastAsia" w:ascii="宋体" w:hAnsi="宋体"/>
          <w:snapToGrid w:val="0"/>
          <w:sz w:val="24"/>
          <w:szCs w:val="24"/>
        </w:rPr>
        <w:t>）</w:t>
      </w:r>
      <w:r>
        <w:rPr>
          <w:rFonts w:hint="eastAsia" w:ascii="宋体" w:hAnsi="宋体"/>
          <w:sz w:val="24"/>
          <w:szCs w:val="24"/>
        </w:rPr>
        <w:t>采购文件</w:t>
      </w:r>
      <w:r>
        <w:rPr>
          <w:rFonts w:ascii="宋体" w:hAnsi="宋体"/>
          <w:sz w:val="24"/>
        </w:rPr>
        <w:t>的全部内容，</w:t>
      </w:r>
      <w:r>
        <w:rPr>
          <w:rFonts w:hint="eastAsia" w:ascii="宋体" w:hAnsi="宋体"/>
          <w:sz w:val="24"/>
        </w:rPr>
        <w:t>经我单位认真研究后，我方完全接受本次采购文件规定的所有要求，并承诺在成交后履行我方的全部义务，预估总报价为</w:t>
      </w:r>
      <w:r>
        <w:rPr>
          <w:rFonts w:ascii="宋体" w:hAnsi="宋体"/>
          <w:sz w:val="24"/>
        </w:rPr>
        <w:t>（大写）</w:t>
      </w:r>
      <w:r>
        <w:rPr>
          <w:rFonts w:hint="eastAsia" w:ascii="宋体" w:hAnsi="宋体"/>
          <w:sz w:val="24"/>
          <w:u w:val="single"/>
        </w:rPr>
        <w:t xml:space="preserve">                </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元</w:t>
      </w:r>
      <w:r>
        <w:rPr>
          <w:rFonts w:ascii="宋体" w:hAnsi="宋体"/>
          <w:sz w:val="24"/>
        </w:rPr>
        <w:t>）</w:t>
      </w:r>
      <w:r>
        <w:rPr>
          <w:rFonts w:hint="eastAsia" w:ascii="宋体" w:hAnsi="宋体"/>
          <w:sz w:val="24"/>
        </w:rPr>
        <w:t>，报价包含</w:t>
      </w:r>
      <w:r>
        <w:rPr>
          <w:rFonts w:hint="eastAsia" w:ascii="宋体" w:hAnsi="宋体"/>
          <w:sz w:val="24"/>
          <w:u w:val="single"/>
        </w:rPr>
        <w:t xml:space="preserve">     </w:t>
      </w:r>
      <w:r>
        <w:rPr>
          <w:rFonts w:hint="eastAsia" w:ascii="宋体" w:hAnsi="宋体"/>
          <w:sz w:val="24"/>
        </w:rPr>
        <w:t>%增值税专用发票</w:t>
      </w:r>
      <w:r>
        <w:rPr>
          <w:rFonts w:ascii="宋体" w:hAnsi="宋体"/>
          <w:sz w:val="24"/>
        </w:rPr>
        <w:t>。</w:t>
      </w:r>
    </w:p>
    <w:p>
      <w:pPr>
        <w:spacing w:line="360" w:lineRule="auto"/>
        <w:ind w:firstLine="424" w:firstLineChars="177"/>
        <w:jc w:val="left"/>
        <w:rPr>
          <w:rFonts w:ascii="宋体" w:hAnsi="宋体"/>
          <w:color w:val="000000"/>
          <w:sz w:val="24"/>
        </w:rPr>
      </w:pPr>
      <w:r>
        <w:rPr>
          <w:rFonts w:hint="eastAsia" w:ascii="宋体" w:hAnsi="宋体"/>
          <w:sz w:val="24"/>
        </w:rPr>
        <w:t>2</w:t>
      </w:r>
      <w:r>
        <w:rPr>
          <w:rFonts w:ascii="宋体" w:hAnsi="宋体"/>
          <w:sz w:val="24"/>
        </w:rPr>
        <w:t>．</w:t>
      </w:r>
      <w:r>
        <w:rPr>
          <w:rFonts w:hint="eastAsia" w:ascii="宋体" w:hAnsi="宋体"/>
          <w:sz w:val="24"/>
        </w:rPr>
        <w:t>我方保证不以任何理由增加报价。如有缺项、漏项部分均由我方无条件负责补齐。</w:t>
      </w:r>
    </w:p>
    <w:p>
      <w:pPr>
        <w:spacing w:line="420" w:lineRule="exact"/>
        <w:ind w:firstLine="424" w:firstLineChars="177"/>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若我方成交，保证日常检测按照采购方要求，</w:t>
      </w:r>
      <w:r>
        <w:rPr>
          <w:rFonts w:hint="eastAsia" w:ascii="宋体" w:hAnsi="宋体"/>
          <w:sz w:val="24"/>
          <w:u w:val="single"/>
        </w:rPr>
        <w:t xml:space="preserve">      </w:t>
      </w:r>
      <w:r>
        <w:rPr>
          <w:rFonts w:hint="eastAsia" w:ascii="宋体" w:hAnsi="宋体"/>
          <w:sz w:val="24"/>
        </w:rPr>
        <w:t>日历天完成现场检测，</w:t>
      </w:r>
      <w:r>
        <w:rPr>
          <w:rFonts w:hint="eastAsia" w:ascii="宋体" w:hAnsi="宋体"/>
          <w:sz w:val="24"/>
          <w:u w:val="single"/>
        </w:rPr>
        <w:t xml:space="preserve">      </w:t>
      </w:r>
      <w:r>
        <w:rPr>
          <w:rFonts w:hint="eastAsia" w:ascii="宋体" w:hAnsi="宋体"/>
          <w:sz w:val="24"/>
        </w:rPr>
        <w:t>日历天出具检测报告书；</w:t>
      </w:r>
    </w:p>
    <w:p>
      <w:pPr>
        <w:spacing w:line="420" w:lineRule="exact"/>
        <w:ind w:firstLine="424" w:firstLineChars="177"/>
        <w:rPr>
          <w:rFonts w:ascii="宋体" w:hAnsi="宋体"/>
          <w:sz w:val="24"/>
        </w:rPr>
      </w:pPr>
      <w:r>
        <w:rPr>
          <w:rFonts w:hint="eastAsia" w:ascii="宋体" w:hAnsi="宋体"/>
          <w:sz w:val="24"/>
        </w:rPr>
        <w:t>年度检测合同签订后</w:t>
      </w:r>
      <w:r>
        <w:rPr>
          <w:rFonts w:hint="eastAsia" w:ascii="宋体" w:hAnsi="宋体"/>
          <w:sz w:val="24"/>
          <w:u w:val="single"/>
        </w:rPr>
        <w:t xml:space="preserve">      </w:t>
      </w:r>
      <w:r>
        <w:rPr>
          <w:rFonts w:hint="eastAsia" w:ascii="宋体" w:hAnsi="宋体"/>
          <w:sz w:val="24"/>
        </w:rPr>
        <w:t>日历天完成现场检测，</w:t>
      </w:r>
      <w:r>
        <w:rPr>
          <w:rFonts w:hint="eastAsia" w:ascii="宋体" w:hAnsi="宋体"/>
          <w:sz w:val="24"/>
          <w:u w:val="single"/>
        </w:rPr>
        <w:t xml:space="preserve">      </w:t>
      </w:r>
      <w:r>
        <w:rPr>
          <w:rFonts w:hint="eastAsia" w:ascii="宋体" w:hAnsi="宋体"/>
          <w:sz w:val="24"/>
        </w:rPr>
        <w:t>日历天出具检测报告书。</w:t>
      </w:r>
    </w:p>
    <w:p>
      <w:pPr>
        <w:spacing w:line="420" w:lineRule="exact"/>
        <w:ind w:firstLine="424" w:firstLineChars="177"/>
        <w:rPr>
          <w:rFonts w:ascii="宋体" w:hAnsi="宋体"/>
          <w:sz w:val="24"/>
        </w:rPr>
      </w:pPr>
      <w:r>
        <w:rPr>
          <w:rFonts w:hint="eastAsia" w:ascii="宋体" w:hAnsi="宋体"/>
          <w:sz w:val="24"/>
        </w:rPr>
        <w:t>4</w:t>
      </w:r>
      <w:r>
        <w:rPr>
          <w:rFonts w:ascii="宋体" w:hAnsi="宋体"/>
          <w:sz w:val="24"/>
        </w:rPr>
        <w:t>．我方承诺</w:t>
      </w:r>
      <w:r>
        <w:rPr>
          <w:rFonts w:hint="eastAsia" w:ascii="宋体" w:hAnsi="宋体"/>
          <w:sz w:val="24"/>
        </w:rPr>
        <w:t>本次报价</w:t>
      </w:r>
      <w:r>
        <w:rPr>
          <w:rFonts w:ascii="宋体" w:hAnsi="宋体"/>
          <w:sz w:val="24"/>
        </w:rPr>
        <w:t>有效期</w:t>
      </w:r>
      <w:r>
        <w:rPr>
          <w:rFonts w:hint="eastAsia" w:ascii="宋体" w:hAnsi="宋体"/>
          <w:sz w:val="24"/>
          <w:u w:val="single"/>
        </w:rPr>
        <w:t xml:space="preserve">  90  </w:t>
      </w:r>
      <w:r>
        <w:rPr>
          <w:rFonts w:hint="eastAsia" w:ascii="宋体" w:hAnsi="宋体"/>
          <w:sz w:val="24"/>
        </w:rPr>
        <w:t>天，有效期</w:t>
      </w:r>
      <w:r>
        <w:rPr>
          <w:rFonts w:ascii="宋体" w:hAnsi="宋体"/>
          <w:sz w:val="24"/>
        </w:rPr>
        <w:t>内不修改、撤销</w:t>
      </w:r>
      <w:r>
        <w:rPr>
          <w:rFonts w:hint="eastAsia" w:ascii="宋体" w:hAnsi="宋体"/>
          <w:sz w:val="24"/>
        </w:rPr>
        <w:t>响应文件</w:t>
      </w:r>
      <w:r>
        <w:rPr>
          <w:rFonts w:ascii="宋体" w:hAnsi="宋体"/>
          <w:sz w:val="24"/>
        </w:rPr>
        <w:t>。</w:t>
      </w:r>
    </w:p>
    <w:p>
      <w:pPr>
        <w:spacing w:line="420" w:lineRule="exact"/>
        <w:ind w:firstLine="424" w:firstLineChars="177"/>
        <w:rPr>
          <w:rFonts w:ascii="宋体" w:hAnsi="宋体"/>
          <w:sz w:val="24"/>
        </w:rPr>
      </w:pPr>
      <w:r>
        <w:rPr>
          <w:rFonts w:hint="eastAsia" w:ascii="宋体" w:hAnsi="宋体"/>
          <w:sz w:val="24"/>
        </w:rPr>
        <w:t>5</w:t>
      </w:r>
      <w:r>
        <w:rPr>
          <w:rFonts w:ascii="宋体" w:hAnsi="宋体"/>
          <w:sz w:val="24"/>
        </w:rPr>
        <w:t>．随同本报价函提交报价保证金一份，金额为</w:t>
      </w:r>
      <w:r>
        <w:rPr>
          <w:rFonts w:hint="eastAsia" w:ascii="宋体" w:hAnsi="宋体"/>
          <w:sz w:val="24"/>
        </w:rPr>
        <w:t>：</w:t>
      </w:r>
    </w:p>
    <w:p>
      <w:pPr>
        <w:spacing w:line="420" w:lineRule="exact"/>
        <w:ind w:left="525" w:leftChars="250" w:firstLine="424" w:firstLineChars="177"/>
        <w:rPr>
          <w:rFonts w:ascii="宋体" w:hAnsi="宋体"/>
          <w:sz w:val="24"/>
        </w:rPr>
      </w:pPr>
      <w:r>
        <w:rPr>
          <w:rFonts w:ascii="宋体" w:hAnsi="宋体"/>
          <w:sz w:val="24"/>
        </w:rPr>
        <w:t>人民币（大写）</w:t>
      </w:r>
      <w:r>
        <w:rPr>
          <w:rFonts w:hint="eastAsia" w:ascii="宋体" w:hAnsi="宋体"/>
          <w:sz w:val="24"/>
          <w:u w:val="single"/>
        </w:rPr>
        <w:t xml:space="preserve">          </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元</w:t>
      </w:r>
      <w:r>
        <w:rPr>
          <w:rFonts w:ascii="宋体" w:hAnsi="宋体"/>
          <w:sz w:val="24"/>
        </w:rPr>
        <w:t>）。</w:t>
      </w:r>
    </w:p>
    <w:p>
      <w:pPr>
        <w:spacing w:line="420" w:lineRule="exact"/>
        <w:ind w:firstLine="424" w:firstLineChars="177"/>
        <w:rPr>
          <w:rFonts w:ascii="宋体" w:hAnsi="宋体"/>
          <w:sz w:val="24"/>
        </w:rPr>
      </w:pPr>
      <w:r>
        <w:rPr>
          <w:rFonts w:hint="eastAsia" w:ascii="宋体" w:hAnsi="宋体"/>
          <w:sz w:val="24"/>
        </w:rPr>
        <w:t>6</w:t>
      </w:r>
      <w:r>
        <w:rPr>
          <w:rFonts w:ascii="宋体" w:hAnsi="宋体"/>
          <w:sz w:val="24"/>
        </w:rPr>
        <w:t>．如我方</w:t>
      </w:r>
      <w:r>
        <w:rPr>
          <w:rFonts w:hint="eastAsia" w:ascii="宋体" w:hAnsi="宋体"/>
          <w:sz w:val="24"/>
        </w:rPr>
        <w:t>成交</w:t>
      </w:r>
      <w:r>
        <w:rPr>
          <w:rFonts w:ascii="宋体" w:hAnsi="宋体"/>
          <w:sz w:val="24"/>
        </w:rPr>
        <w:t>：</w:t>
      </w:r>
    </w:p>
    <w:p>
      <w:pPr>
        <w:spacing w:line="420" w:lineRule="exact"/>
        <w:ind w:firstLine="424" w:firstLineChars="177"/>
        <w:rPr>
          <w:rFonts w:ascii="宋体" w:hAnsi="宋体"/>
          <w:sz w:val="24"/>
        </w:rPr>
      </w:pPr>
      <w:r>
        <w:rPr>
          <w:rFonts w:ascii="宋体" w:hAnsi="宋体"/>
          <w:sz w:val="24"/>
        </w:rPr>
        <w:t>（1）我方承诺在收到</w:t>
      </w:r>
      <w:r>
        <w:rPr>
          <w:rFonts w:hint="eastAsia" w:ascii="宋体" w:hAnsi="宋体"/>
          <w:sz w:val="24"/>
        </w:rPr>
        <w:t>采购人成交</w:t>
      </w:r>
      <w:r>
        <w:rPr>
          <w:rFonts w:ascii="宋体" w:hAnsi="宋体"/>
          <w:sz w:val="24"/>
        </w:rPr>
        <w:t>通知后，在规定的期限内与你方签订合同。</w:t>
      </w:r>
    </w:p>
    <w:p>
      <w:pPr>
        <w:spacing w:line="420" w:lineRule="exact"/>
        <w:ind w:firstLine="424" w:firstLineChars="177"/>
        <w:rPr>
          <w:rFonts w:ascii="宋体" w:hAnsi="宋体"/>
          <w:sz w:val="24"/>
        </w:rPr>
      </w:pPr>
      <w:r>
        <w:rPr>
          <w:rFonts w:ascii="宋体" w:hAnsi="宋体"/>
          <w:sz w:val="24"/>
        </w:rPr>
        <w:t>（2）随同本报价函递交的</w:t>
      </w:r>
      <w:r>
        <w:rPr>
          <w:rFonts w:hint="eastAsia" w:ascii="宋体" w:hAnsi="宋体"/>
          <w:color w:val="000000"/>
          <w:sz w:val="24"/>
        </w:rPr>
        <w:t>响应文件</w:t>
      </w:r>
      <w:r>
        <w:rPr>
          <w:rFonts w:ascii="宋体" w:hAnsi="宋体"/>
          <w:sz w:val="24"/>
        </w:rPr>
        <w:t>属于合同文件的组成部分。</w:t>
      </w:r>
    </w:p>
    <w:p>
      <w:pPr>
        <w:spacing w:line="420" w:lineRule="exact"/>
        <w:ind w:firstLine="424" w:firstLineChars="177"/>
        <w:rPr>
          <w:rFonts w:ascii="宋体" w:hAnsi="宋体"/>
          <w:sz w:val="24"/>
        </w:rPr>
      </w:pPr>
      <w:r>
        <w:rPr>
          <w:rFonts w:ascii="宋体" w:hAnsi="宋体"/>
          <w:sz w:val="24"/>
        </w:rPr>
        <w:t>（3）我方承诺在合同约定的期限内完成并移交全部合同</w:t>
      </w:r>
      <w:r>
        <w:rPr>
          <w:rFonts w:hint="eastAsia" w:ascii="宋体" w:hAnsi="宋体"/>
          <w:sz w:val="24"/>
        </w:rPr>
        <w:t>内容</w:t>
      </w:r>
      <w:r>
        <w:rPr>
          <w:rFonts w:ascii="宋体" w:hAnsi="宋体"/>
          <w:sz w:val="24"/>
        </w:rPr>
        <w:t>。</w:t>
      </w:r>
    </w:p>
    <w:p>
      <w:pPr>
        <w:spacing w:line="420" w:lineRule="exact"/>
        <w:ind w:firstLine="424" w:firstLineChars="177"/>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我方在此声明，所递交的响应文件及有关资料内容完整、真实和准确。</w:t>
      </w:r>
    </w:p>
    <w:p>
      <w:pPr>
        <w:spacing w:line="420" w:lineRule="exact"/>
        <w:ind w:firstLine="424" w:firstLineChars="177"/>
        <w:rPr>
          <w:rFonts w:ascii="宋体" w:hAnsi="宋体"/>
          <w:sz w:val="24"/>
        </w:rPr>
      </w:pPr>
      <w:r>
        <w:rPr>
          <w:rFonts w:hint="eastAsia" w:ascii="宋体" w:hAnsi="宋体"/>
          <w:sz w:val="24"/>
        </w:rPr>
        <w:t>8．</w:t>
      </w:r>
      <w:r>
        <w:rPr>
          <w:rFonts w:ascii="宋体" w:hAnsi="宋体"/>
          <w:sz w:val="24"/>
          <w:u w:val="single"/>
        </w:rPr>
        <w:t xml:space="preserve">                                       </w:t>
      </w:r>
      <w:r>
        <w:rPr>
          <w:rFonts w:ascii="宋体" w:hAnsi="宋体"/>
          <w:sz w:val="24"/>
        </w:rPr>
        <w:t>（</w:t>
      </w:r>
      <w:r>
        <w:rPr>
          <w:rFonts w:hint="eastAsia" w:ascii="宋体" w:hAnsi="宋体"/>
          <w:sz w:val="24"/>
        </w:rPr>
        <w:t>其他</w:t>
      </w:r>
      <w:r>
        <w:rPr>
          <w:rFonts w:ascii="宋体" w:hAnsi="宋体"/>
          <w:sz w:val="24"/>
        </w:rPr>
        <w:t>补充说明）。</w:t>
      </w:r>
    </w:p>
    <w:p>
      <w:pPr>
        <w:tabs>
          <w:tab w:val="left" w:pos="1050"/>
        </w:tabs>
        <w:spacing w:before="240" w:line="360" w:lineRule="auto"/>
        <w:ind w:left="1" w:right="57"/>
        <w:jc w:val="left"/>
        <w:rPr>
          <w:sz w:val="24"/>
          <w:szCs w:val="24"/>
        </w:rPr>
      </w:pPr>
      <w:r>
        <w:rPr>
          <w:rFonts w:hint="eastAsia" w:ascii="宋体" w:hAnsi="宋体"/>
          <w:sz w:val="24"/>
          <w:szCs w:val="24"/>
        </w:rPr>
        <w:t>供应商名称</w:t>
      </w:r>
      <w:r>
        <w:rPr>
          <w:sz w:val="24"/>
          <w:szCs w:val="24"/>
        </w:rPr>
        <w:t>（盖单位</w:t>
      </w:r>
      <w:r>
        <w:rPr>
          <w:rFonts w:hint="eastAsia"/>
          <w:sz w:val="24"/>
          <w:szCs w:val="24"/>
        </w:rPr>
        <w:t>公章</w:t>
      </w:r>
      <w:r>
        <w:rPr>
          <w:sz w:val="24"/>
          <w:szCs w:val="24"/>
        </w:rPr>
        <w:t>）：</w:t>
      </w:r>
      <w:r>
        <w:rPr>
          <w:sz w:val="24"/>
          <w:szCs w:val="24"/>
          <w:u w:val="single"/>
        </w:rPr>
        <w:t xml:space="preserve">                      </w:t>
      </w:r>
    </w:p>
    <w:p>
      <w:pPr>
        <w:tabs>
          <w:tab w:val="left" w:pos="1050"/>
        </w:tabs>
        <w:spacing w:line="360" w:lineRule="auto"/>
        <w:ind w:right="57"/>
        <w:rPr>
          <w:rFonts w:ascii="宋体" w:hAnsi="宋体"/>
          <w:sz w:val="24"/>
          <w:szCs w:val="24"/>
        </w:rPr>
      </w:pPr>
      <w:r>
        <w:rPr>
          <w:sz w:val="24"/>
          <w:szCs w:val="24"/>
        </w:rPr>
        <w:t>法定代表人或其委托代理人：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r>
        <w:rPr>
          <w:rFonts w:hint="eastAsia"/>
          <w:sz w:val="24"/>
          <w:szCs w:val="24"/>
        </w:rPr>
        <w:t xml:space="preserve">  </w:t>
      </w:r>
    </w:p>
    <w:p>
      <w:pPr>
        <w:tabs>
          <w:tab w:val="left" w:pos="1050"/>
        </w:tabs>
        <w:spacing w:line="360" w:lineRule="auto"/>
        <w:ind w:right="57"/>
        <w:rPr>
          <w:rFonts w:ascii="宋体" w:hAnsi="宋体"/>
          <w:sz w:val="24"/>
          <w:szCs w:val="24"/>
        </w:rPr>
      </w:pPr>
      <w:r>
        <w:rPr>
          <w:sz w:val="24"/>
          <w:szCs w:val="24"/>
        </w:rPr>
        <w:t>地址：</w:t>
      </w:r>
      <w:r>
        <w:rPr>
          <w:sz w:val="24"/>
          <w:szCs w:val="24"/>
          <w:u w:val="single"/>
        </w:rPr>
        <w:t xml:space="preserve">                                     </w:t>
      </w:r>
    </w:p>
    <w:p>
      <w:pPr>
        <w:spacing w:line="360" w:lineRule="auto"/>
        <w:rPr>
          <w:sz w:val="24"/>
          <w:szCs w:val="24"/>
        </w:rPr>
      </w:pPr>
      <w:r>
        <w:rPr>
          <w:sz w:val="24"/>
          <w:szCs w:val="24"/>
        </w:rPr>
        <w:t>电话：</w:t>
      </w:r>
      <w:r>
        <w:rPr>
          <w:sz w:val="24"/>
          <w:szCs w:val="24"/>
          <w:u w:val="single"/>
        </w:rPr>
        <w:t xml:space="preserve">                                     </w:t>
      </w:r>
    </w:p>
    <w:p>
      <w:pPr>
        <w:spacing w:line="360" w:lineRule="auto"/>
        <w:rPr>
          <w:rFonts w:eastAsia="黑体"/>
          <w:sz w:val="24"/>
          <w:szCs w:val="24"/>
        </w:rPr>
      </w:pPr>
      <w:r>
        <w:rPr>
          <w:sz w:val="24"/>
          <w:szCs w:val="24"/>
        </w:rPr>
        <w:t>传真：</w:t>
      </w:r>
      <w:r>
        <w:rPr>
          <w:sz w:val="24"/>
          <w:szCs w:val="24"/>
          <w:u w:val="single"/>
        </w:rPr>
        <w:t xml:space="preserve">                </w:t>
      </w:r>
      <w:r>
        <w:rPr>
          <w:rFonts w:hint="eastAsia"/>
          <w:sz w:val="24"/>
          <w:szCs w:val="24"/>
          <w:u w:val="single"/>
        </w:rPr>
        <w:t xml:space="preserve">                     </w:t>
      </w:r>
    </w:p>
    <w:p>
      <w:pPr>
        <w:spacing w:line="360" w:lineRule="auto"/>
        <w:rPr>
          <w:sz w:val="24"/>
          <w:szCs w:val="24"/>
          <w:u w:val="single"/>
        </w:rPr>
      </w:pPr>
      <w:r>
        <w:rPr>
          <w:sz w:val="24"/>
          <w:szCs w:val="24"/>
        </w:rPr>
        <w:t>邮政编码：</w:t>
      </w:r>
      <w:r>
        <w:rPr>
          <w:sz w:val="24"/>
          <w:szCs w:val="24"/>
          <w:u w:val="single"/>
        </w:rPr>
        <w:t xml:space="preserve">                                 </w:t>
      </w:r>
    </w:p>
    <w:p>
      <w:pPr>
        <w:wordWrap w:val="0"/>
        <w:spacing w:line="360" w:lineRule="auto"/>
        <w:ind w:right="480" w:firstLine="3362" w:firstLineChars="1401"/>
        <w:jc w:val="right"/>
        <w:rPr>
          <w:sz w:val="24"/>
        </w:rPr>
      </w:pPr>
      <w:r>
        <w:rPr>
          <w:rFonts w:hint="eastAsia"/>
          <w:sz w:val="24"/>
          <w:u w:val="single"/>
        </w:rPr>
        <w:t xml:space="preserve">          </w:t>
      </w:r>
      <w:r>
        <w:rPr>
          <w:sz w:val="24"/>
        </w:rPr>
        <w:t>年</w:t>
      </w:r>
      <w:r>
        <w:rPr>
          <w:rFonts w:hint="eastAsia"/>
          <w:sz w:val="24"/>
          <w:u w:val="single"/>
        </w:rPr>
        <w:t xml:space="preserve">        </w:t>
      </w:r>
      <w:r>
        <w:rPr>
          <w:sz w:val="24"/>
        </w:rPr>
        <w:t>月</w:t>
      </w:r>
      <w:r>
        <w:rPr>
          <w:rFonts w:hint="eastAsia"/>
          <w:sz w:val="24"/>
          <w:u w:val="single"/>
        </w:rPr>
        <w:t xml:space="preserve">        </w:t>
      </w:r>
      <w:r>
        <w:rPr>
          <w:sz w:val="24"/>
        </w:rPr>
        <w:t>日</w:t>
      </w:r>
    </w:p>
    <w:p>
      <w:pPr>
        <w:spacing w:line="360" w:lineRule="auto"/>
        <w:ind w:right="480" w:firstLine="3362" w:firstLineChars="1401"/>
        <w:jc w:val="right"/>
        <w:rPr>
          <w:sz w:val="24"/>
        </w:rPr>
      </w:pPr>
    </w:p>
    <w:p>
      <w:pPr>
        <w:spacing w:line="360" w:lineRule="auto"/>
        <w:jc w:val="center"/>
        <w:rPr>
          <w:rFonts w:ascii="宋体" w:hAnsi="宋体"/>
          <w:b/>
          <w:sz w:val="32"/>
          <w:szCs w:val="32"/>
        </w:rPr>
      </w:pPr>
      <w:r>
        <w:rPr>
          <w:rFonts w:ascii="宋体" w:hAnsi="宋体"/>
          <w:b/>
          <w:sz w:val="32"/>
          <w:szCs w:val="32"/>
        </w:rPr>
        <w:br w:type="page"/>
      </w:r>
      <w:r>
        <w:rPr>
          <w:rFonts w:hint="eastAsia" w:ascii="宋体" w:hAnsi="宋体"/>
          <w:b/>
          <w:sz w:val="32"/>
          <w:szCs w:val="32"/>
        </w:rPr>
        <w:t>报  价  表</w:t>
      </w:r>
    </w:p>
    <w:p>
      <w:pPr>
        <w:spacing w:line="300" w:lineRule="auto"/>
        <w:ind w:left="-1" w:leftChars="-1" w:hanging="1"/>
        <w:rPr>
          <w:rFonts w:ascii="宋体"/>
          <w:b/>
          <w:sz w:val="24"/>
        </w:rPr>
      </w:pPr>
      <w:r>
        <w:rPr>
          <w:rFonts w:hint="eastAsia" w:ascii="宋体"/>
          <w:b/>
          <w:sz w:val="24"/>
        </w:rPr>
        <w:t>名称：</w:t>
      </w:r>
      <w:r>
        <w:rPr>
          <w:rFonts w:hint="eastAsia" w:ascii="仿宋_GB2312" w:hAnsi="仿宋_GB2312" w:eastAsia="仿宋_GB2312" w:cs="仿宋_GB2312"/>
          <w:bCs/>
          <w:sz w:val="24"/>
          <w:szCs w:val="24"/>
          <w:lang w:eastAsia="zh-CN"/>
        </w:rPr>
        <w:t>内蒙古华云新材料有限公司</w:t>
      </w:r>
      <w:r>
        <w:rPr>
          <w:rFonts w:hint="eastAsia" w:ascii="仿宋_GB2312" w:hAnsi="仿宋_GB2312" w:eastAsia="仿宋_GB2312" w:cs="仿宋_GB2312"/>
          <w:bCs/>
          <w:sz w:val="24"/>
          <w:szCs w:val="24"/>
        </w:rPr>
        <w:t>作业场所职业病危害因素年度及日常检测</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96"/>
        <w:gridCol w:w="890"/>
        <w:gridCol w:w="1806"/>
        <w:gridCol w:w="3682"/>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90" w:hRule="atLeast"/>
          <w:jc w:val="center"/>
        </w:trPr>
        <w:tc>
          <w:tcPr>
            <w:tcW w:w="889" w:type="pct"/>
            <w:shd w:val="clear" w:color="auto" w:fill="FFFFFF"/>
            <w:vAlign w:val="center"/>
          </w:tcPr>
          <w:p>
            <w:pPr>
              <w:ind w:left="-1048" w:leftChars="-499" w:firstLine="1053" w:firstLineChars="437"/>
              <w:jc w:val="center"/>
              <w:rPr>
                <w:rFonts w:ascii="宋体" w:hAnsi="宋体"/>
                <w:b/>
                <w:sz w:val="24"/>
                <w:szCs w:val="24"/>
              </w:rPr>
            </w:pPr>
            <w:r>
              <w:rPr>
                <w:rFonts w:hint="eastAsia" w:ascii="宋体" w:hAnsi="宋体"/>
                <w:b/>
                <w:sz w:val="24"/>
                <w:szCs w:val="24"/>
              </w:rPr>
              <w:t>项目名称</w:t>
            </w:r>
          </w:p>
        </w:tc>
        <w:tc>
          <w:tcPr>
            <w:tcW w:w="1502" w:type="pct"/>
            <w:gridSpan w:val="2"/>
            <w:shd w:val="clear" w:color="auto" w:fill="FFFFFF"/>
            <w:vAlign w:val="center"/>
          </w:tcPr>
          <w:p>
            <w:pPr>
              <w:ind w:left="-1048" w:leftChars="-499" w:firstLine="1053" w:firstLineChars="437"/>
              <w:jc w:val="center"/>
              <w:rPr>
                <w:rFonts w:ascii="宋体" w:hAnsi="宋体"/>
                <w:b/>
                <w:sz w:val="24"/>
                <w:szCs w:val="24"/>
              </w:rPr>
            </w:pPr>
            <w:r>
              <w:rPr>
                <w:rFonts w:hint="eastAsia" w:ascii="宋体" w:hAnsi="宋体"/>
                <w:b/>
                <w:sz w:val="24"/>
                <w:szCs w:val="24"/>
              </w:rPr>
              <w:t>报价（万元）</w:t>
            </w:r>
          </w:p>
        </w:tc>
        <w:tc>
          <w:tcPr>
            <w:tcW w:w="2051" w:type="pct"/>
            <w:shd w:val="clear" w:color="auto" w:fill="FFFFFF"/>
            <w:vAlign w:val="center"/>
          </w:tcPr>
          <w:p>
            <w:pPr>
              <w:jc w:val="center"/>
              <w:rPr>
                <w:rFonts w:ascii="宋体" w:hAnsi="宋体"/>
                <w:b/>
                <w:sz w:val="24"/>
                <w:szCs w:val="24"/>
              </w:rPr>
            </w:pPr>
            <w:r>
              <w:rPr>
                <w:rFonts w:hint="eastAsia" w:ascii="宋体" w:hAnsi="宋体"/>
                <w:b/>
                <w:sz w:val="24"/>
                <w:szCs w:val="24"/>
              </w:rPr>
              <w:t>工期</w:t>
            </w:r>
          </w:p>
        </w:tc>
        <w:tc>
          <w:tcPr>
            <w:tcW w:w="558" w:type="pct"/>
            <w:shd w:val="clear" w:color="auto" w:fill="FFFFFF"/>
            <w:vAlign w:val="center"/>
          </w:tcPr>
          <w:p>
            <w:pPr>
              <w:ind w:left="-1048" w:leftChars="-499" w:firstLine="1053" w:firstLineChars="437"/>
              <w:jc w:val="center"/>
              <w:rPr>
                <w:rFonts w:ascii="宋体" w:hAnsi="宋体"/>
                <w:b/>
                <w:sz w:val="24"/>
                <w:szCs w:val="24"/>
              </w:rPr>
            </w:pPr>
            <w:r>
              <w:rPr>
                <w:rFonts w:hint="eastAsia" w:ascii="宋体" w:hAnsi="宋体"/>
                <w:b/>
                <w:sz w:val="24"/>
                <w:szCs w:val="24"/>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89" w:type="pct"/>
            <w:shd w:val="clear" w:color="auto" w:fill="FFFFFF"/>
            <w:vAlign w:val="center"/>
          </w:tcPr>
          <w:p>
            <w:pPr>
              <w:spacing w:line="276" w:lineRule="auto"/>
              <w:jc w:val="center"/>
              <w:rPr>
                <w:rFonts w:ascii="宋体" w:hAnsi="宋体"/>
                <w:sz w:val="24"/>
                <w:szCs w:val="24"/>
              </w:rPr>
            </w:pPr>
            <w:r>
              <w:rPr>
                <w:rFonts w:hint="eastAsia" w:ascii="宋体" w:hAnsi="宋体"/>
                <w:sz w:val="24"/>
                <w:szCs w:val="24"/>
              </w:rPr>
              <w:t>日常检测</w:t>
            </w:r>
          </w:p>
        </w:tc>
        <w:tc>
          <w:tcPr>
            <w:tcW w:w="1502" w:type="pct"/>
            <w:gridSpan w:val="2"/>
            <w:shd w:val="clear" w:color="auto" w:fill="FFFFFF"/>
            <w:vAlign w:val="center"/>
          </w:tcPr>
          <w:p>
            <w:pPr>
              <w:spacing w:line="276" w:lineRule="auto"/>
              <w:jc w:val="center"/>
              <w:rPr>
                <w:rFonts w:ascii="宋体" w:hAnsi="宋体"/>
                <w:sz w:val="24"/>
                <w:szCs w:val="24"/>
              </w:rPr>
            </w:pPr>
          </w:p>
        </w:tc>
        <w:tc>
          <w:tcPr>
            <w:tcW w:w="2051" w:type="pct"/>
            <w:shd w:val="clear" w:color="auto" w:fill="FFFFFF"/>
            <w:vAlign w:val="center"/>
          </w:tcPr>
          <w:p>
            <w:pPr>
              <w:spacing w:line="276" w:lineRule="auto"/>
              <w:jc w:val="center"/>
              <w:rPr>
                <w:rFonts w:ascii="宋体" w:hAnsi="宋体"/>
                <w:sz w:val="24"/>
                <w:szCs w:val="24"/>
              </w:rPr>
            </w:pPr>
          </w:p>
        </w:tc>
        <w:tc>
          <w:tcPr>
            <w:tcW w:w="558" w:type="pct"/>
            <w:vMerge w:val="restart"/>
            <w:shd w:val="clear" w:color="auto" w:fill="FFFFFF"/>
            <w:vAlign w:val="center"/>
          </w:tcPr>
          <w:p>
            <w:pPr>
              <w:spacing w:line="276"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89" w:type="pct"/>
            <w:shd w:val="clear" w:color="auto" w:fill="FFFFFF"/>
            <w:vAlign w:val="center"/>
          </w:tcPr>
          <w:p>
            <w:pPr>
              <w:spacing w:line="276" w:lineRule="auto"/>
              <w:jc w:val="center"/>
              <w:rPr>
                <w:rFonts w:ascii="宋体" w:hAnsi="宋体"/>
                <w:sz w:val="24"/>
                <w:szCs w:val="24"/>
              </w:rPr>
            </w:pPr>
            <w:r>
              <w:rPr>
                <w:rFonts w:hint="eastAsia" w:ascii="宋体" w:hAnsi="宋体"/>
                <w:sz w:val="24"/>
                <w:szCs w:val="24"/>
              </w:rPr>
              <w:t>年度检测</w:t>
            </w:r>
          </w:p>
        </w:tc>
        <w:tc>
          <w:tcPr>
            <w:tcW w:w="1502" w:type="pct"/>
            <w:gridSpan w:val="2"/>
            <w:shd w:val="clear" w:color="auto" w:fill="FFFFFF"/>
            <w:vAlign w:val="center"/>
          </w:tcPr>
          <w:p>
            <w:pPr>
              <w:spacing w:line="276" w:lineRule="auto"/>
              <w:jc w:val="center"/>
              <w:rPr>
                <w:rFonts w:ascii="宋体" w:hAnsi="宋体"/>
                <w:sz w:val="24"/>
                <w:szCs w:val="24"/>
              </w:rPr>
            </w:pPr>
          </w:p>
        </w:tc>
        <w:tc>
          <w:tcPr>
            <w:tcW w:w="2051" w:type="pct"/>
            <w:shd w:val="clear" w:color="auto" w:fill="FFFFFF"/>
            <w:vAlign w:val="center"/>
          </w:tcPr>
          <w:p>
            <w:pPr>
              <w:spacing w:line="276" w:lineRule="auto"/>
              <w:jc w:val="center"/>
              <w:rPr>
                <w:rFonts w:ascii="宋体" w:hAnsi="宋体"/>
                <w:sz w:val="24"/>
                <w:szCs w:val="24"/>
              </w:rPr>
            </w:pPr>
          </w:p>
        </w:tc>
        <w:tc>
          <w:tcPr>
            <w:tcW w:w="558" w:type="pct"/>
            <w:vMerge w:val="continue"/>
            <w:shd w:val="clear" w:color="auto" w:fill="FFFFFF"/>
            <w:vAlign w:val="center"/>
          </w:tcPr>
          <w:p>
            <w:pPr>
              <w:spacing w:line="276"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85" w:type="pct"/>
            <w:gridSpan w:val="2"/>
            <w:shd w:val="clear" w:color="auto" w:fill="FFFFFF"/>
            <w:vAlign w:val="center"/>
          </w:tcPr>
          <w:p>
            <w:pPr>
              <w:spacing w:line="276" w:lineRule="auto"/>
              <w:jc w:val="center"/>
              <w:rPr>
                <w:rFonts w:ascii="宋体" w:hAnsi="宋体"/>
                <w:sz w:val="24"/>
                <w:szCs w:val="24"/>
              </w:rPr>
            </w:pPr>
            <w:r>
              <w:rPr>
                <w:rFonts w:hint="eastAsia" w:ascii="宋体" w:hAnsi="宋体"/>
                <w:sz w:val="24"/>
                <w:szCs w:val="24"/>
              </w:rPr>
              <w:t>总报价小写</w:t>
            </w:r>
          </w:p>
        </w:tc>
        <w:tc>
          <w:tcPr>
            <w:tcW w:w="3615" w:type="pct"/>
            <w:gridSpan w:val="3"/>
            <w:shd w:val="clear" w:color="auto" w:fill="FFFFFF"/>
            <w:vAlign w:val="center"/>
          </w:tcPr>
          <w:p>
            <w:pPr>
              <w:wordWrap w:val="0"/>
              <w:spacing w:line="276" w:lineRule="auto"/>
              <w:jc w:val="righ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85" w:type="pct"/>
            <w:gridSpan w:val="2"/>
            <w:shd w:val="clear" w:color="auto" w:fill="FFFFFF"/>
            <w:vAlign w:val="center"/>
          </w:tcPr>
          <w:p>
            <w:pPr>
              <w:spacing w:line="276" w:lineRule="auto"/>
              <w:jc w:val="center"/>
              <w:rPr>
                <w:rFonts w:ascii="宋体" w:hAnsi="宋体"/>
                <w:sz w:val="24"/>
                <w:szCs w:val="24"/>
              </w:rPr>
            </w:pPr>
            <w:r>
              <w:rPr>
                <w:rFonts w:hint="eastAsia" w:ascii="宋体" w:hAnsi="宋体"/>
                <w:sz w:val="24"/>
                <w:szCs w:val="24"/>
              </w:rPr>
              <w:t>总报价大写</w:t>
            </w:r>
          </w:p>
        </w:tc>
        <w:tc>
          <w:tcPr>
            <w:tcW w:w="3615" w:type="pct"/>
            <w:gridSpan w:val="3"/>
            <w:shd w:val="clear" w:color="auto" w:fill="FFFFFF"/>
            <w:vAlign w:val="center"/>
          </w:tcPr>
          <w:p>
            <w:pPr>
              <w:wordWrap w:val="0"/>
              <w:spacing w:line="276" w:lineRule="auto"/>
              <w:jc w:val="right"/>
              <w:rPr>
                <w:rFonts w:ascii="宋体" w:hAnsi="宋体"/>
                <w:sz w:val="24"/>
                <w:szCs w:val="24"/>
              </w:rPr>
            </w:pPr>
            <w:r>
              <w:rPr>
                <w:rFonts w:hint="eastAsia" w:ascii="宋体" w:hAnsi="宋体"/>
                <w:sz w:val="24"/>
                <w:szCs w:val="24"/>
              </w:rPr>
              <w:t xml:space="preserve">元整        </w:t>
            </w:r>
          </w:p>
        </w:tc>
      </w:tr>
    </w:tbl>
    <w:p>
      <w:pPr>
        <w:spacing w:line="300" w:lineRule="auto"/>
        <w:ind w:left="-1" w:leftChars="-1" w:hanging="1"/>
        <w:rPr>
          <w:rFonts w:ascii="宋体"/>
          <w:color w:val="FF0000"/>
          <w:sz w:val="24"/>
          <w:u w:val="single"/>
        </w:rPr>
      </w:pPr>
    </w:p>
    <w:p>
      <w:pPr>
        <w:spacing w:line="360" w:lineRule="auto"/>
        <w:rPr>
          <w:rFonts w:ascii="宋体" w:hAnsi="宋体"/>
          <w:sz w:val="24"/>
          <w:szCs w:val="24"/>
        </w:rPr>
      </w:pPr>
      <w:r>
        <w:rPr>
          <w:rFonts w:hint="eastAsia" w:ascii="宋体" w:hAnsi="宋体"/>
          <w:color w:val="000000" w:themeColor="text1"/>
          <w:sz w:val="24"/>
          <w:szCs w:val="24"/>
        </w:rPr>
        <w:t>供应商名称：</w:t>
      </w:r>
      <w:r>
        <w:rPr>
          <w:rFonts w:hint="eastAsia" w:ascii="宋体" w:hAnsi="宋体"/>
          <w:sz w:val="24"/>
          <w:szCs w:val="24"/>
        </w:rPr>
        <w:t>（加盖公章）</w:t>
      </w:r>
    </w:p>
    <w:p>
      <w:pPr>
        <w:spacing w:line="360" w:lineRule="auto"/>
        <w:rPr>
          <w:rFonts w:ascii="宋体" w:hAnsi="宋体"/>
          <w:sz w:val="24"/>
          <w:szCs w:val="24"/>
        </w:rPr>
      </w:pPr>
      <w:r>
        <w:rPr>
          <w:rFonts w:hint="eastAsia" w:ascii="宋体" w:hAnsi="宋体"/>
          <w:sz w:val="24"/>
          <w:szCs w:val="24"/>
        </w:rPr>
        <w:t xml:space="preserve">授权委托人签字： </w:t>
      </w:r>
    </w:p>
    <w:p>
      <w:pPr>
        <w:spacing w:line="360" w:lineRule="auto"/>
        <w:rPr>
          <w:rFonts w:ascii="宋体" w:hAnsi="宋体"/>
          <w:sz w:val="24"/>
          <w:szCs w:val="24"/>
        </w:rPr>
      </w:pPr>
      <w:r>
        <w:rPr>
          <w:rFonts w:hint="eastAsia" w:ascii="宋体" w:hAnsi="宋体"/>
          <w:sz w:val="24"/>
          <w:szCs w:val="24"/>
        </w:rPr>
        <w:t>日    期：</w:t>
      </w:r>
    </w:p>
    <w:p>
      <w:pPr>
        <w:spacing w:line="360" w:lineRule="auto"/>
        <w:rPr>
          <w:rFonts w:ascii="宋体" w:hAnsi="宋体"/>
          <w:sz w:val="24"/>
          <w:szCs w:val="24"/>
        </w:rPr>
      </w:pPr>
      <w:r>
        <w:rPr>
          <w:rFonts w:hint="eastAsia" w:ascii="宋体" w:hAnsi="宋体"/>
          <w:sz w:val="24"/>
          <w:szCs w:val="24"/>
        </w:rPr>
        <w:t>联系人：</w:t>
      </w:r>
    </w:p>
    <w:p>
      <w:pPr>
        <w:spacing w:line="360" w:lineRule="auto"/>
        <w:rPr>
          <w:rFonts w:ascii="宋体" w:hAnsi="宋体"/>
          <w:sz w:val="24"/>
          <w:szCs w:val="24"/>
        </w:rPr>
      </w:pPr>
      <w:r>
        <w:rPr>
          <w:rFonts w:hint="eastAsia" w:ascii="宋体" w:hAnsi="宋体"/>
          <w:sz w:val="24"/>
          <w:szCs w:val="24"/>
        </w:rPr>
        <w:t>联系电话：</w:t>
      </w:r>
    </w:p>
    <w:p>
      <w:pPr>
        <w:spacing w:line="360" w:lineRule="auto"/>
        <w:rPr>
          <w:rFonts w:ascii="宋体" w:hAnsi="宋体"/>
          <w:sz w:val="24"/>
          <w:szCs w:val="24"/>
        </w:rPr>
      </w:pPr>
      <w:r>
        <w:rPr>
          <w:rFonts w:hint="eastAsia" w:ascii="宋体" w:hAnsi="宋体"/>
          <w:sz w:val="24"/>
          <w:szCs w:val="24"/>
        </w:rPr>
        <w:t>邮箱：</w:t>
      </w:r>
    </w:p>
    <w:p>
      <w:pPr>
        <w:widowControl/>
        <w:jc w:val="left"/>
        <w:rPr>
          <w:rFonts w:ascii="宋体" w:hAnsi="宋体"/>
          <w:b/>
          <w:color w:val="FF0000"/>
          <w:sz w:val="32"/>
          <w:szCs w:val="32"/>
        </w:rPr>
      </w:pPr>
    </w:p>
    <w:p>
      <w:pPr>
        <w:tabs>
          <w:tab w:val="left" w:pos="4095"/>
        </w:tabs>
        <w:jc w:val="center"/>
        <w:rPr>
          <w:rFonts w:ascii="宋体" w:hAnsi="宋体"/>
          <w:b/>
          <w:bCs/>
          <w:color w:val="000000"/>
          <w:sz w:val="32"/>
          <w:szCs w:val="32"/>
        </w:rPr>
      </w:pPr>
    </w:p>
    <w:p>
      <w:pPr>
        <w:tabs>
          <w:tab w:val="left" w:pos="4095"/>
        </w:tabs>
        <w:jc w:val="center"/>
        <w:rPr>
          <w:rFonts w:ascii="宋体" w:hAnsi="宋体"/>
          <w:b/>
          <w:bCs/>
          <w:color w:val="000000"/>
          <w:sz w:val="32"/>
          <w:szCs w:val="32"/>
        </w:rPr>
      </w:pPr>
    </w:p>
    <w:p>
      <w:pPr>
        <w:tabs>
          <w:tab w:val="left" w:pos="4095"/>
        </w:tabs>
        <w:jc w:val="center"/>
        <w:rPr>
          <w:rFonts w:ascii="宋体" w:hAnsi="宋体"/>
          <w:b/>
          <w:bCs/>
          <w:color w:val="000000"/>
          <w:sz w:val="32"/>
          <w:szCs w:val="32"/>
        </w:rPr>
      </w:pPr>
    </w:p>
    <w:p>
      <w:pPr>
        <w:spacing w:before="240" w:after="240"/>
        <w:jc w:val="center"/>
        <w:rPr>
          <w:b/>
          <w:snapToGrid w:val="0"/>
          <w:sz w:val="44"/>
          <w:szCs w:val="44"/>
        </w:rPr>
      </w:pPr>
    </w:p>
    <w:p>
      <w:pPr>
        <w:spacing w:before="240" w:after="240"/>
        <w:jc w:val="center"/>
        <w:rPr>
          <w:b/>
          <w:snapToGrid w:val="0"/>
          <w:sz w:val="44"/>
          <w:szCs w:val="44"/>
        </w:rPr>
      </w:pPr>
    </w:p>
    <w:p>
      <w:pPr>
        <w:widowControl/>
        <w:jc w:val="left"/>
        <w:rPr>
          <w:rFonts w:ascii="宋体" w:hAnsi="宋体"/>
          <w:b/>
          <w:bCs/>
          <w:color w:val="000000"/>
          <w:sz w:val="32"/>
          <w:szCs w:val="32"/>
        </w:rPr>
      </w:pPr>
      <w:r>
        <w:rPr>
          <w:rFonts w:ascii="宋体" w:hAnsi="宋体"/>
          <w:b/>
          <w:bCs/>
          <w:color w:val="000000"/>
          <w:sz w:val="32"/>
          <w:szCs w:val="32"/>
        </w:rPr>
        <w:br w:type="page"/>
      </w:r>
    </w:p>
    <w:p>
      <w:pPr>
        <w:numPr>
          <w:ilvl w:val="0"/>
          <w:numId w:val="13"/>
        </w:numPr>
        <w:spacing w:line="490" w:lineRule="exact"/>
        <w:jc w:val="left"/>
        <w:outlineLvl w:val="0"/>
        <w:rPr>
          <w:rFonts w:hint="eastAsia" w:ascii="黑体" w:hAnsi="黑体" w:eastAsia="黑体" w:cs="黑体"/>
          <w:b/>
          <w:bCs/>
          <w:sz w:val="30"/>
          <w:szCs w:val="30"/>
        </w:rPr>
      </w:pPr>
      <w:r>
        <w:rPr>
          <w:rFonts w:hint="eastAsia" w:ascii="黑体" w:hAnsi="黑体" w:eastAsia="黑体" w:cs="黑体"/>
          <w:b/>
          <w:bCs/>
          <w:sz w:val="30"/>
          <w:szCs w:val="30"/>
        </w:rPr>
        <w:t>作业场所职业病危害因素日常检测点位明细（季度检测）</w:t>
      </w:r>
    </w:p>
    <w:tbl>
      <w:tblPr>
        <w:tblStyle w:val="54"/>
        <w:tblpPr w:leftFromText="180" w:rightFromText="180" w:vertAnchor="text" w:horzAnchor="page" w:tblpX="1120" w:tblpY="912"/>
        <w:tblOverlap w:val="never"/>
        <w:tblW w:w="95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934"/>
        <w:gridCol w:w="1695"/>
        <w:gridCol w:w="2346"/>
        <w:gridCol w:w="2518"/>
        <w:gridCol w:w="13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序号</w:t>
            </w:r>
          </w:p>
        </w:tc>
        <w:tc>
          <w:tcPr>
            <w:tcW w:w="934" w:type="dxa"/>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分厂</w:t>
            </w:r>
          </w:p>
        </w:tc>
        <w:tc>
          <w:tcPr>
            <w:tcW w:w="1695" w:type="dxa"/>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车间</w:t>
            </w:r>
          </w:p>
        </w:tc>
        <w:tc>
          <w:tcPr>
            <w:tcW w:w="2346" w:type="dxa"/>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采样地点</w:t>
            </w:r>
          </w:p>
        </w:tc>
        <w:tc>
          <w:tcPr>
            <w:tcW w:w="2518" w:type="dxa"/>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检测项目</w:t>
            </w:r>
          </w:p>
        </w:tc>
        <w:tc>
          <w:tcPr>
            <w:tcW w:w="1369" w:type="dxa"/>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kern w:val="0"/>
                <w:szCs w:val="21"/>
                <w:lang w:eastAsia="zh-CN" w:bidi="ar"/>
              </w:rPr>
            </w:pPr>
            <w:r>
              <w:rPr>
                <w:rFonts w:hint="eastAsia" w:ascii="仿宋_GB2312" w:hAnsi="仿宋_GB2312" w:eastAsia="仿宋_GB2312" w:cs="仿宋_GB2312"/>
                <w:color w:val="000000"/>
                <w:kern w:val="0"/>
                <w:szCs w:val="21"/>
                <w:lang w:eastAsia="zh-CN" w:bidi="ar"/>
              </w:rPr>
              <w:t>检测价格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934" w:type="dxa"/>
            <w:vMerge w:val="restart"/>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华云热电厂</w:t>
            </w:r>
          </w:p>
        </w:tc>
        <w:tc>
          <w:tcPr>
            <w:tcW w:w="1695" w:type="dxa"/>
            <w:vMerge w:val="restart"/>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输煤运行 </w:t>
            </w: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1#皮带头</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2#皮带头</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3#皮带头</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4#皮带头</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5#皮带头</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6#皮带头</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7#皮带头</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restart"/>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锅炉与汽轮系统</w:t>
            </w: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1#炉给煤机平台</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1#炉磨煤机平台</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2#炉给煤机平台</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2#炉磨煤机平台</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1#汽轮机</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1#发电机</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2#汽轮机</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2#发电机</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推煤机</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装载机</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煤尘、噪声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w:t>
            </w:r>
          </w:p>
        </w:tc>
        <w:tc>
          <w:tcPr>
            <w:tcW w:w="934" w:type="dxa"/>
            <w:vMerge w:val="restart"/>
            <w:tcBorders>
              <w:tl2br w:val="nil"/>
              <w:tr2bl w:val="nil"/>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color w:val="000000"/>
                <w:kern w:val="0"/>
                <w:szCs w:val="21"/>
                <w:lang w:bidi="ar"/>
              </w:rPr>
            </w:pPr>
          </w:p>
          <w:p>
            <w:pPr>
              <w:widowControl/>
              <w:jc w:val="center"/>
              <w:textAlignment w:val="center"/>
              <w:rPr>
                <w:rFonts w:ascii="仿宋_GB2312" w:hAnsi="仿宋_GB2312" w:eastAsia="仿宋_GB2312" w:cs="仿宋_GB2312"/>
                <w:color w:val="000000"/>
                <w:kern w:val="0"/>
                <w:szCs w:val="21"/>
                <w:lang w:bidi="ar"/>
              </w:rPr>
            </w:pPr>
          </w:p>
          <w:p>
            <w:pPr>
              <w:widowControl/>
              <w:jc w:val="center"/>
              <w:textAlignment w:val="center"/>
              <w:rPr>
                <w:rFonts w:ascii="仿宋_GB2312" w:hAnsi="仿宋_GB2312" w:eastAsia="仿宋_GB2312" w:cs="仿宋_GB2312"/>
                <w:color w:val="000000"/>
                <w:kern w:val="0"/>
                <w:szCs w:val="21"/>
                <w:lang w:bidi="ar"/>
              </w:rPr>
            </w:pPr>
          </w:p>
          <w:p>
            <w:pPr>
              <w:widowControl/>
              <w:jc w:val="center"/>
              <w:textAlignment w:val="center"/>
              <w:rPr>
                <w:rFonts w:ascii="仿宋_GB2312" w:hAnsi="仿宋_GB2312" w:eastAsia="仿宋_GB2312" w:cs="仿宋_GB2312"/>
                <w:color w:val="000000"/>
                <w:kern w:val="0"/>
                <w:szCs w:val="21"/>
                <w:lang w:bidi="ar"/>
              </w:rPr>
            </w:pPr>
          </w:p>
          <w:p>
            <w:pPr>
              <w:widowControl/>
              <w:jc w:val="center"/>
              <w:textAlignment w:val="center"/>
              <w:rPr>
                <w:rFonts w:ascii="仿宋_GB2312" w:hAnsi="仿宋_GB2312" w:eastAsia="仿宋_GB2312" w:cs="仿宋_GB2312"/>
                <w:color w:val="000000"/>
                <w:kern w:val="0"/>
                <w:szCs w:val="21"/>
                <w:lang w:bidi="ar"/>
              </w:rPr>
            </w:pPr>
          </w:p>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华云电解一厂</w:t>
            </w:r>
          </w:p>
        </w:tc>
        <w:tc>
          <w:tcPr>
            <w:tcW w:w="1695" w:type="dxa"/>
            <w:vMerge w:val="restart"/>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电解北区</w:t>
            </w: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换极处</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氟化物、氧化铝粉尘、噪声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换极处</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氟化物、氧化铝粉尘、噪声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restart"/>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电解南区</w:t>
            </w: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换极处</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氟化物、氧化铝粉尘、噪声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21</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换极处</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氟化物、氧化铝粉尘、噪声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22</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restart"/>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铸造车间</w:t>
            </w: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清包间</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铝合金粉尘、噪声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23</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炒灰间</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铝合金粉尘、噪声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24</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restart"/>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组装区</w:t>
            </w: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浇铸处</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其他粉尘、噪声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25</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中频炉</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其他粉尘、噪声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26</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装卸站</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炭黑粉尘、噪声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27</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手动残极清破处</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炭黑粉尘、噪声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28</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残极压脱处</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炭黑粉尘、噪声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29</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磷铁压脱操作位</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其他粉尘、噪声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30</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清渣台</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其他粉尘、噪声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31</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restart"/>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辅助单元</w:t>
            </w: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空压机房</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32</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烟气净化脱硫塔处</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粉尘</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33</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烟气净化引风机风机旁</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w:t>
            </w:r>
            <w:r>
              <w:rPr>
                <w:rFonts w:ascii="仿宋_GB2312" w:hAnsi="仿宋_GB2312" w:eastAsia="仿宋_GB2312" w:cs="仿宋_GB2312"/>
                <w:color w:val="000000"/>
                <w:kern w:val="0"/>
                <w:szCs w:val="21"/>
                <w:lang w:bidi="ar"/>
              </w:rPr>
              <w:t>4</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冷却循环水车间泵旁</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w:t>
            </w:r>
            <w:r>
              <w:rPr>
                <w:rFonts w:ascii="仿宋_GB2312" w:hAnsi="仿宋_GB2312" w:eastAsia="仿宋_GB2312" w:cs="仿宋_GB2312"/>
                <w:color w:val="000000"/>
                <w:kern w:val="0"/>
                <w:szCs w:val="21"/>
                <w:lang w:bidi="ar"/>
              </w:rPr>
              <w:t>5</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氧化铝仓库</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氧化铝粉尘、噪声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36</w:t>
            </w:r>
          </w:p>
        </w:tc>
        <w:tc>
          <w:tcPr>
            <w:tcW w:w="934" w:type="dxa"/>
            <w:vMerge w:val="restart"/>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kern w:val="0"/>
                <w:szCs w:val="21"/>
                <w:lang w:bidi="ar"/>
              </w:rPr>
            </w:pPr>
          </w:p>
          <w:p>
            <w:pPr>
              <w:widowControl/>
              <w:jc w:val="center"/>
              <w:textAlignment w:val="center"/>
              <w:rPr>
                <w:rFonts w:hint="eastAsia" w:ascii="仿宋_GB2312" w:hAnsi="仿宋_GB2312" w:eastAsia="仿宋_GB2312" w:cs="仿宋_GB2312"/>
                <w:color w:val="000000"/>
                <w:kern w:val="0"/>
                <w:szCs w:val="21"/>
                <w:lang w:bidi="ar"/>
              </w:rPr>
            </w:pPr>
          </w:p>
          <w:p>
            <w:pPr>
              <w:widowControl/>
              <w:jc w:val="center"/>
              <w:textAlignment w:val="center"/>
              <w:rPr>
                <w:rFonts w:ascii="仿宋_GB2312" w:hAnsi="仿宋_GB2312" w:eastAsia="仿宋_GB2312" w:cs="仿宋_GB2312"/>
                <w:color w:val="000000"/>
                <w:kern w:val="0"/>
                <w:szCs w:val="21"/>
                <w:lang w:bidi="ar"/>
              </w:rPr>
            </w:pPr>
          </w:p>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云电解二厂</w:t>
            </w:r>
          </w:p>
        </w:tc>
        <w:tc>
          <w:tcPr>
            <w:tcW w:w="1695" w:type="dxa"/>
            <w:vMerge w:val="restart"/>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电解北区</w:t>
            </w: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换极处</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氟化物、氧化铝粉尘、噪声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37</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天车操作位</w:t>
            </w:r>
          </w:p>
        </w:tc>
        <w:tc>
          <w:tcPr>
            <w:tcW w:w="2518"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氟化物、氧化铝粉尘、噪声</w:t>
            </w:r>
          </w:p>
        </w:tc>
        <w:tc>
          <w:tcPr>
            <w:tcW w:w="1369"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38</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restart"/>
            <w:tcBorders>
              <w:tl2br w:val="nil"/>
              <w:tr2bl w:val="nil"/>
            </w:tcBorders>
            <w:noWrap w:val="0"/>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电解南区</w:t>
            </w: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换极处</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氟化物、氧化铝粉尘、噪声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39</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天车操作位</w:t>
            </w:r>
          </w:p>
        </w:tc>
        <w:tc>
          <w:tcPr>
            <w:tcW w:w="2518"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氟化物、氧化铝粉尘、噪声</w:t>
            </w:r>
          </w:p>
        </w:tc>
        <w:tc>
          <w:tcPr>
            <w:tcW w:w="1369"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40</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restart"/>
            <w:tcBorders>
              <w:tl2br w:val="nil"/>
              <w:tr2bl w:val="nil"/>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color w:val="000000"/>
                <w:kern w:val="0"/>
                <w:szCs w:val="21"/>
                <w:lang w:bidi="ar"/>
              </w:rPr>
            </w:pPr>
          </w:p>
          <w:p>
            <w:pPr>
              <w:widowControl/>
              <w:jc w:val="center"/>
              <w:textAlignment w:val="center"/>
              <w:rPr>
                <w:rFonts w:ascii="仿宋_GB2312" w:hAnsi="仿宋_GB2312" w:eastAsia="仿宋_GB2312" w:cs="仿宋_GB2312"/>
                <w:color w:val="000000"/>
                <w:kern w:val="0"/>
                <w:szCs w:val="21"/>
                <w:lang w:bidi="ar"/>
              </w:rPr>
            </w:pPr>
          </w:p>
          <w:p>
            <w:pPr>
              <w:widowControl/>
              <w:jc w:val="center"/>
              <w:textAlignment w:val="center"/>
              <w:rPr>
                <w:rFonts w:ascii="仿宋_GB2312" w:hAnsi="仿宋_GB2312" w:eastAsia="仿宋_GB2312" w:cs="仿宋_GB2312"/>
                <w:color w:val="000000"/>
                <w:kern w:val="0"/>
                <w:szCs w:val="21"/>
                <w:lang w:bidi="ar"/>
              </w:rPr>
            </w:pPr>
          </w:p>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组装区</w:t>
            </w: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手动浇铸处</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其他粉尘、噪声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41</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中频炉旁</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其他粉尘、噪声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42</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清渣平台</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氧化铝粉尘</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43</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装卸平台</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氧化铝粉尘、噪声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44</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残极压脱处</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炭黑粉尘、噪声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45</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磷铁压脱操作位</w:t>
            </w:r>
          </w:p>
        </w:tc>
        <w:tc>
          <w:tcPr>
            <w:tcW w:w="2518"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炭黑粉尘、噪声</w:t>
            </w:r>
          </w:p>
        </w:tc>
        <w:tc>
          <w:tcPr>
            <w:tcW w:w="1369"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46</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叉车驾驶室</w:t>
            </w:r>
          </w:p>
        </w:tc>
        <w:tc>
          <w:tcPr>
            <w:tcW w:w="2518"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炭黑粉尘、噪声</w:t>
            </w:r>
          </w:p>
        </w:tc>
        <w:tc>
          <w:tcPr>
            <w:tcW w:w="1369"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4</w:t>
            </w:r>
            <w:r>
              <w:rPr>
                <w:rFonts w:ascii="仿宋_GB2312" w:hAnsi="仿宋_GB2312" w:eastAsia="仿宋_GB2312" w:cs="仿宋_GB2312"/>
                <w:color w:val="000000"/>
                <w:kern w:val="0"/>
                <w:szCs w:val="21"/>
                <w:lang w:bidi="ar"/>
              </w:rPr>
              <w:t>7</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restart"/>
            <w:tcBorders>
              <w:tl2br w:val="nil"/>
              <w:tr2bl w:val="nil"/>
            </w:tcBorders>
            <w:noWrap/>
            <w:tcMar>
              <w:top w:w="12" w:type="dxa"/>
              <w:left w:w="12" w:type="dxa"/>
              <w:right w:w="12" w:type="dxa"/>
            </w:tcMar>
            <w:vAlign w:val="center"/>
          </w:tcPr>
          <w:p>
            <w:pPr>
              <w:jc w:val="center"/>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辅助单元</w:t>
            </w: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清包间</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铝合金粉尘、噪声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48</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空压机房</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噪声</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49</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烟气净化脱硫塔处</w:t>
            </w:r>
          </w:p>
        </w:tc>
        <w:tc>
          <w:tcPr>
            <w:tcW w:w="2518"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粉尘</w:t>
            </w:r>
          </w:p>
        </w:tc>
        <w:tc>
          <w:tcPr>
            <w:tcW w:w="1369" w:type="dxa"/>
            <w:tcBorders>
              <w:tl2br w:val="nil"/>
              <w:tr2bl w:val="nil"/>
            </w:tcBorders>
            <w:noWrap w:val="0"/>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50</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烟气净化引风机风机旁</w:t>
            </w:r>
          </w:p>
        </w:tc>
        <w:tc>
          <w:tcPr>
            <w:tcW w:w="2518"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噪声</w:t>
            </w:r>
          </w:p>
        </w:tc>
        <w:tc>
          <w:tcPr>
            <w:tcW w:w="1369"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51</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冷却循环水车间泵旁</w:t>
            </w:r>
          </w:p>
        </w:tc>
        <w:tc>
          <w:tcPr>
            <w:tcW w:w="2518"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噪声</w:t>
            </w:r>
          </w:p>
        </w:tc>
        <w:tc>
          <w:tcPr>
            <w:tcW w:w="1369"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55" w:type="dxa"/>
            <w:tcBorders>
              <w:tl2br w:val="nil"/>
              <w:tr2bl w:val="nil"/>
            </w:tcBorders>
            <w:noWrap/>
            <w:tcMar>
              <w:top w:w="12" w:type="dxa"/>
              <w:left w:w="12" w:type="dxa"/>
              <w:right w:w="12" w:type="dxa"/>
            </w:tcMar>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52</w:t>
            </w:r>
          </w:p>
        </w:tc>
        <w:tc>
          <w:tcPr>
            <w:tcW w:w="934"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1695" w:type="dxa"/>
            <w:vMerge w:val="continue"/>
            <w:tcBorders>
              <w:tl2br w:val="nil"/>
              <w:tr2bl w:val="nil"/>
            </w:tcBorders>
            <w:noWrap/>
            <w:tcMar>
              <w:top w:w="12" w:type="dxa"/>
              <w:left w:w="12" w:type="dxa"/>
              <w:right w:w="12" w:type="dxa"/>
            </w:tcMar>
            <w:vAlign w:val="center"/>
          </w:tcPr>
          <w:p>
            <w:pPr>
              <w:jc w:val="center"/>
              <w:rPr>
                <w:rFonts w:hint="eastAsia" w:ascii="仿宋_GB2312" w:hAnsi="仿宋_GB2312" w:eastAsia="仿宋_GB2312" w:cs="仿宋_GB2312"/>
                <w:color w:val="000000"/>
                <w:szCs w:val="21"/>
              </w:rPr>
            </w:pPr>
          </w:p>
        </w:tc>
        <w:tc>
          <w:tcPr>
            <w:tcW w:w="2346"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氧化铝仓库</w:t>
            </w:r>
          </w:p>
        </w:tc>
        <w:tc>
          <w:tcPr>
            <w:tcW w:w="2518"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氧化铝粉尘、噪声</w:t>
            </w:r>
          </w:p>
        </w:tc>
        <w:tc>
          <w:tcPr>
            <w:tcW w:w="1369" w:type="dxa"/>
            <w:tcBorders>
              <w:tl2br w:val="nil"/>
              <w:tr2bl w:val="nil"/>
            </w:tcBorders>
            <w:noWrap/>
            <w:tcMar>
              <w:top w:w="12" w:type="dxa"/>
              <w:left w:w="12" w:type="dxa"/>
              <w:right w:w="12" w:type="dxa"/>
            </w:tcMar>
            <w:vAlign w:val="center"/>
          </w:tcPr>
          <w:p>
            <w:pPr>
              <w:widowControl/>
              <w:textAlignment w:val="center"/>
              <w:rPr>
                <w:rFonts w:hint="eastAsia" w:ascii="仿宋_GB2312" w:hAnsi="仿宋_GB2312" w:eastAsia="仿宋_GB2312" w:cs="仿宋_GB2312"/>
                <w:color w:val="000000"/>
                <w:kern w:val="0"/>
                <w:szCs w:val="21"/>
                <w:lang w:bidi="ar"/>
              </w:rPr>
            </w:pPr>
          </w:p>
        </w:tc>
      </w:tr>
    </w:tbl>
    <w:p>
      <w:pPr>
        <w:pStyle w:val="2"/>
        <w:numPr>
          <w:ilvl w:val="0"/>
          <w:numId w:val="0"/>
        </w:numPr>
      </w:pPr>
    </w:p>
    <w:p>
      <w:pPr>
        <w:tabs>
          <w:tab w:val="left" w:pos="4095"/>
        </w:tabs>
        <w:jc w:val="center"/>
        <w:rPr>
          <w:rFonts w:ascii="宋体" w:hAnsi="宋体"/>
          <w:b/>
          <w:bCs/>
          <w:color w:val="000000"/>
          <w:sz w:val="32"/>
          <w:szCs w:val="32"/>
        </w:rPr>
      </w:pPr>
      <w:r>
        <w:rPr>
          <w:rFonts w:hint="eastAsia" w:ascii="宋体" w:hAnsi="宋体"/>
          <w:b/>
          <w:bCs/>
          <w:color w:val="000000"/>
          <w:sz w:val="32"/>
          <w:szCs w:val="32"/>
        </w:rPr>
        <w:t>年 度 检 测 分 项 报 价 表</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1"/>
        <w:gridCol w:w="3454"/>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21" w:type="pct"/>
            <w:vAlign w:val="center"/>
          </w:tcPr>
          <w:p>
            <w:pPr>
              <w:spacing w:line="276" w:lineRule="auto"/>
              <w:jc w:val="center"/>
              <w:rPr>
                <w:rFonts w:ascii="宋体" w:hAnsi="宋体"/>
                <w:b/>
                <w:sz w:val="24"/>
                <w:szCs w:val="24"/>
              </w:rPr>
            </w:pPr>
            <w:r>
              <w:rPr>
                <w:rFonts w:hint="eastAsia" w:ascii="宋体" w:hAnsi="宋体" w:cs="宋体"/>
                <w:b/>
                <w:sz w:val="24"/>
                <w:szCs w:val="24"/>
              </w:rPr>
              <w:t>序号</w:t>
            </w:r>
          </w:p>
        </w:tc>
        <w:tc>
          <w:tcPr>
            <w:tcW w:w="1924" w:type="pct"/>
            <w:vAlign w:val="center"/>
          </w:tcPr>
          <w:p>
            <w:pPr>
              <w:spacing w:line="276" w:lineRule="auto"/>
              <w:jc w:val="center"/>
              <w:rPr>
                <w:rFonts w:ascii="宋体" w:hAnsi="宋体"/>
                <w:b/>
                <w:sz w:val="24"/>
                <w:szCs w:val="24"/>
              </w:rPr>
            </w:pPr>
            <w:r>
              <w:rPr>
                <w:rFonts w:hint="eastAsia" w:ascii="宋体" w:hAnsi="宋体" w:cs="宋体"/>
                <w:b/>
                <w:sz w:val="24"/>
                <w:szCs w:val="24"/>
              </w:rPr>
              <w:t>工作场所</w:t>
            </w:r>
          </w:p>
        </w:tc>
        <w:tc>
          <w:tcPr>
            <w:tcW w:w="1755" w:type="pct"/>
            <w:vAlign w:val="center"/>
          </w:tcPr>
          <w:p>
            <w:pPr>
              <w:spacing w:line="276" w:lineRule="auto"/>
              <w:jc w:val="center"/>
              <w:rPr>
                <w:rFonts w:ascii="宋体" w:hAnsi="宋体"/>
                <w:b/>
                <w:sz w:val="24"/>
                <w:szCs w:val="24"/>
              </w:rPr>
            </w:pPr>
            <w:r>
              <w:rPr>
                <w:rFonts w:hint="eastAsia" w:ascii="宋体" w:hAnsi="宋体"/>
                <w:b/>
                <w:sz w:val="24"/>
                <w:szCs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21" w:type="pct"/>
            <w:vAlign w:val="center"/>
          </w:tcPr>
          <w:p>
            <w:pPr>
              <w:spacing w:line="276" w:lineRule="auto"/>
              <w:jc w:val="center"/>
              <w:rPr>
                <w:rFonts w:ascii="宋体" w:hAnsi="宋体" w:cs="宋体"/>
                <w:sz w:val="24"/>
                <w:szCs w:val="24"/>
              </w:rPr>
            </w:pPr>
            <w:r>
              <w:rPr>
                <w:rFonts w:hint="eastAsia" w:ascii="宋体" w:hAnsi="宋体" w:cs="宋体"/>
                <w:sz w:val="24"/>
                <w:szCs w:val="24"/>
              </w:rPr>
              <w:t>1</w:t>
            </w:r>
          </w:p>
        </w:tc>
        <w:tc>
          <w:tcPr>
            <w:tcW w:w="1924" w:type="pct"/>
            <w:vAlign w:val="center"/>
          </w:tcPr>
          <w:p>
            <w:pPr>
              <w:spacing w:line="276" w:lineRule="auto"/>
              <w:jc w:val="center"/>
              <w:rPr>
                <w:rFonts w:ascii="宋体" w:hAnsi="宋体" w:cs="宋体"/>
                <w:b/>
                <w:sz w:val="24"/>
                <w:szCs w:val="24"/>
              </w:rPr>
            </w:pPr>
          </w:p>
        </w:tc>
        <w:tc>
          <w:tcPr>
            <w:tcW w:w="1755" w:type="pct"/>
            <w:vAlign w:val="center"/>
          </w:tcPr>
          <w:p>
            <w:pPr>
              <w:spacing w:line="276"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21" w:type="pct"/>
            <w:vAlign w:val="center"/>
          </w:tcPr>
          <w:p>
            <w:pPr>
              <w:spacing w:line="276" w:lineRule="auto"/>
              <w:jc w:val="center"/>
              <w:rPr>
                <w:rFonts w:ascii="宋体" w:hAnsi="宋体" w:cs="宋体"/>
                <w:sz w:val="24"/>
                <w:szCs w:val="24"/>
              </w:rPr>
            </w:pPr>
            <w:r>
              <w:rPr>
                <w:rFonts w:hint="eastAsia" w:ascii="宋体" w:hAnsi="宋体" w:cs="宋体"/>
                <w:sz w:val="24"/>
                <w:szCs w:val="24"/>
              </w:rPr>
              <w:t>2</w:t>
            </w:r>
          </w:p>
        </w:tc>
        <w:tc>
          <w:tcPr>
            <w:tcW w:w="1924" w:type="pct"/>
            <w:vAlign w:val="center"/>
          </w:tcPr>
          <w:p>
            <w:pPr>
              <w:spacing w:line="276" w:lineRule="auto"/>
              <w:jc w:val="center"/>
              <w:rPr>
                <w:rFonts w:ascii="宋体" w:hAnsi="宋体" w:cs="宋体"/>
                <w:b/>
                <w:sz w:val="24"/>
                <w:szCs w:val="24"/>
              </w:rPr>
            </w:pPr>
          </w:p>
        </w:tc>
        <w:tc>
          <w:tcPr>
            <w:tcW w:w="1755" w:type="pct"/>
            <w:vAlign w:val="center"/>
          </w:tcPr>
          <w:p>
            <w:pPr>
              <w:spacing w:line="276"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21" w:type="pct"/>
            <w:vAlign w:val="center"/>
          </w:tcPr>
          <w:p>
            <w:pPr>
              <w:spacing w:line="276" w:lineRule="auto"/>
              <w:jc w:val="center"/>
              <w:rPr>
                <w:rFonts w:ascii="宋体" w:hAnsi="宋体" w:cs="宋体"/>
                <w:sz w:val="24"/>
                <w:szCs w:val="24"/>
              </w:rPr>
            </w:pPr>
            <w:r>
              <w:rPr>
                <w:rFonts w:hint="eastAsia" w:ascii="宋体" w:hAnsi="宋体" w:cs="宋体"/>
                <w:sz w:val="24"/>
                <w:szCs w:val="24"/>
              </w:rPr>
              <w:t>3</w:t>
            </w:r>
          </w:p>
        </w:tc>
        <w:tc>
          <w:tcPr>
            <w:tcW w:w="1924" w:type="pct"/>
            <w:vAlign w:val="center"/>
          </w:tcPr>
          <w:p>
            <w:pPr>
              <w:spacing w:line="276" w:lineRule="auto"/>
              <w:jc w:val="center"/>
              <w:rPr>
                <w:rFonts w:ascii="宋体" w:hAnsi="宋体" w:cs="宋体"/>
                <w:b/>
                <w:sz w:val="24"/>
                <w:szCs w:val="24"/>
              </w:rPr>
            </w:pPr>
          </w:p>
        </w:tc>
        <w:tc>
          <w:tcPr>
            <w:tcW w:w="1755" w:type="pct"/>
            <w:vAlign w:val="center"/>
          </w:tcPr>
          <w:p>
            <w:pPr>
              <w:spacing w:line="276"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21" w:type="pct"/>
            <w:vAlign w:val="center"/>
          </w:tcPr>
          <w:p>
            <w:pPr>
              <w:spacing w:line="276" w:lineRule="auto"/>
              <w:jc w:val="center"/>
              <w:rPr>
                <w:rFonts w:ascii="宋体" w:hAnsi="宋体" w:cs="宋体"/>
                <w:sz w:val="24"/>
                <w:szCs w:val="24"/>
              </w:rPr>
            </w:pPr>
            <w:r>
              <w:rPr>
                <w:rFonts w:hint="eastAsia" w:ascii="宋体" w:hAnsi="宋体" w:cs="宋体"/>
                <w:sz w:val="24"/>
                <w:szCs w:val="24"/>
              </w:rPr>
              <w:t>4</w:t>
            </w:r>
          </w:p>
        </w:tc>
        <w:tc>
          <w:tcPr>
            <w:tcW w:w="1924" w:type="pct"/>
            <w:vAlign w:val="center"/>
          </w:tcPr>
          <w:p>
            <w:pPr>
              <w:spacing w:line="276" w:lineRule="auto"/>
              <w:jc w:val="center"/>
              <w:rPr>
                <w:rFonts w:ascii="宋体" w:hAnsi="宋体" w:cs="宋体"/>
                <w:b/>
                <w:sz w:val="24"/>
                <w:szCs w:val="24"/>
              </w:rPr>
            </w:pPr>
          </w:p>
        </w:tc>
        <w:tc>
          <w:tcPr>
            <w:tcW w:w="1755" w:type="pct"/>
            <w:vAlign w:val="center"/>
          </w:tcPr>
          <w:p>
            <w:pPr>
              <w:spacing w:line="276"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21" w:type="pct"/>
            <w:vAlign w:val="center"/>
          </w:tcPr>
          <w:p>
            <w:pPr>
              <w:spacing w:line="276" w:lineRule="auto"/>
              <w:jc w:val="center"/>
              <w:rPr>
                <w:rFonts w:ascii="宋体" w:hAnsi="宋体" w:cs="宋体"/>
                <w:sz w:val="24"/>
                <w:szCs w:val="24"/>
              </w:rPr>
            </w:pPr>
            <w:r>
              <w:rPr>
                <w:rFonts w:hint="eastAsia" w:ascii="宋体" w:hAnsi="宋体" w:cs="宋体"/>
                <w:sz w:val="24"/>
                <w:szCs w:val="24"/>
              </w:rPr>
              <w:t>5</w:t>
            </w:r>
          </w:p>
        </w:tc>
        <w:tc>
          <w:tcPr>
            <w:tcW w:w="1924" w:type="pct"/>
            <w:vAlign w:val="center"/>
          </w:tcPr>
          <w:p>
            <w:pPr>
              <w:spacing w:line="276" w:lineRule="auto"/>
              <w:jc w:val="center"/>
              <w:rPr>
                <w:rFonts w:ascii="宋体" w:hAnsi="宋体" w:cs="宋体"/>
                <w:b/>
                <w:sz w:val="24"/>
                <w:szCs w:val="24"/>
              </w:rPr>
            </w:pPr>
          </w:p>
        </w:tc>
        <w:tc>
          <w:tcPr>
            <w:tcW w:w="1755" w:type="pct"/>
            <w:vAlign w:val="center"/>
          </w:tcPr>
          <w:p>
            <w:pPr>
              <w:spacing w:line="276"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21" w:type="pct"/>
            <w:vAlign w:val="center"/>
          </w:tcPr>
          <w:p>
            <w:pPr>
              <w:spacing w:line="276" w:lineRule="auto"/>
              <w:jc w:val="center"/>
              <w:rPr>
                <w:rFonts w:ascii="宋体" w:hAnsi="宋体" w:cs="宋体"/>
                <w:sz w:val="24"/>
                <w:szCs w:val="24"/>
              </w:rPr>
            </w:pPr>
            <w:r>
              <w:rPr>
                <w:rFonts w:hint="eastAsia" w:ascii="宋体" w:hAnsi="宋体" w:cs="宋体"/>
                <w:sz w:val="24"/>
                <w:szCs w:val="24"/>
              </w:rPr>
              <w:t>6</w:t>
            </w:r>
          </w:p>
        </w:tc>
        <w:tc>
          <w:tcPr>
            <w:tcW w:w="1924" w:type="pct"/>
            <w:vAlign w:val="center"/>
          </w:tcPr>
          <w:p>
            <w:pPr>
              <w:spacing w:line="276" w:lineRule="auto"/>
              <w:jc w:val="center"/>
              <w:rPr>
                <w:rFonts w:ascii="宋体" w:hAnsi="宋体" w:cs="宋体"/>
                <w:b/>
                <w:sz w:val="24"/>
                <w:szCs w:val="24"/>
              </w:rPr>
            </w:pPr>
          </w:p>
        </w:tc>
        <w:tc>
          <w:tcPr>
            <w:tcW w:w="1755" w:type="pct"/>
            <w:vAlign w:val="center"/>
          </w:tcPr>
          <w:p>
            <w:pPr>
              <w:spacing w:line="276"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21" w:type="pct"/>
            <w:vAlign w:val="center"/>
          </w:tcPr>
          <w:p>
            <w:pPr>
              <w:spacing w:line="276" w:lineRule="auto"/>
              <w:jc w:val="center"/>
              <w:rPr>
                <w:rFonts w:ascii="宋体" w:hAnsi="宋体" w:cs="宋体"/>
                <w:sz w:val="24"/>
                <w:szCs w:val="24"/>
              </w:rPr>
            </w:pPr>
            <w:r>
              <w:rPr>
                <w:rFonts w:hint="eastAsia" w:ascii="宋体" w:hAnsi="宋体" w:cs="宋体"/>
                <w:sz w:val="24"/>
                <w:szCs w:val="24"/>
              </w:rPr>
              <w:t>7</w:t>
            </w:r>
          </w:p>
        </w:tc>
        <w:tc>
          <w:tcPr>
            <w:tcW w:w="1924" w:type="pct"/>
            <w:vAlign w:val="center"/>
          </w:tcPr>
          <w:p>
            <w:pPr>
              <w:spacing w:line="276" w:lineRule="auto"/>
              <w:jc w:val="center"/>
              <w:rPr>
                <w:rFonts w:ascii="宋体" w:hAnsi="宋体" w:cs="宋体"/>
                <w:b/>
                <w:sz w:val="24"/>
                <w:szCs w:val="24"/>
              </w:rPr>
            </w:pPr>
          </w:p>
        </w:tc>
        <w:tc>
          <w:tcPr>
            <w:tcW w:w="1755" w:type="pct"/>
            <w:vAlign w:val="center"/>
          </w:tcPr>
          <w:p>
            <w:pPr>
              <w:spacing w:line="276"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21" w:type="pct"/>
            <w:vAlign w:val="center"/>
          </w:tcPr>
          <w:p>
            <w:pPr>
              <w:spacing w:line="276" w:lineRule="auto"/>
              <w:jc w:val="center"/>
              <w:rPr>
                <w:rFonts w:ascii="宋体" w:hAnsi="宋体" w:cs="宋体"/>
                <w:sz w:val="24"/>
                <w:szCs w:val="24"/>
              </w:rPr>
            </w:pPr>
            <w:r>
              <w:rPr>
                <w:rFonts w:ascii="宋体" w:hAnsi="宋体" w:cs="宋体"/>
                <w:sz w:val="24"/>
                <w:szCs w:val="24"/>
              </w:rPr>
              <w:t>…</w:t>
            </w:r>
          </w:p>
        </w:tc>
        <w:tc>
          <w:tcPr>
            <w:tcW w:w="1924" w:type="pct"/>
            <w:vAlign w:val="center"/>
          </w:tcPr>
          <w:p>
            <w:pPr>
              <w:spacing w:line="276" w:lineRule="auto"/>
              <w:jc w:val="center"/>
              <w:rPr>
                <w:rFonts w:ascii="宋体" w:hAnsi="宋体" w:cs="宋体"/>
                <w:b/>
                <w:sz w:val="24"/>
                <w:szCs w:val="24"/>
              </w:rPr>
            </w:pPr>
          </w:p>
        </w:tc>
        <w:tc>
          <w:tcPr>
            <w:tcW w:w="1755" w:type="pct"/>
            <w:vAlign w:val="center"/>
          </w:tcPr>
          <w:p>
            <w:pPr>
              <w:spacing w:line="276"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21" w:type="pct"/>
            <w:vAlign w:val="center"/>
          </w:tcPr>
          <w:p>
            <w:pPr>
              <w:spacing w:line="276" w:lineRule="auto"/>
              <w:jc w:val="center"/>
              <w:rPr>
                <w:rFonts w:ascii="宋体" w:hAnsi="宋体" w:cs="宋体"/>
                <w:sz w:val="24"/>
                <w:szCs w:val="24"/>
              </w:rPr>
            </w:pPr>
            <w:r>
              <w:rPr>
                <w:rFonts w:ascii="宋体" w:hAnsi="宋体" w:cs="宋体"/>
                <w:sz w:val="24"/>
                <w:szCs w:val="24"/>
              </w:rPr>
              <w:t>…</w:t>
            </w:r>
          </w:p>
        </w:tc>
        <w:tc>
          <w:tcPr>
            <w:tcW w:w="1924" w:type="pct"/>
            <w:vAlign w:val="center"/>
          </w:tcPr>
          <w:p>
            <w:pPr>
              <w:spacing w:line="276" w:lineRule="auto"/>
              <w:jc w:val="center"/>
              <w:rPr>
                <w:rFonts w:ascii="宋体" w:hAnsi="宋体" w:cs="宋体"/>
                <w:b/>
                <w:sz w:val="24"/>
                <w:szCs w:val="24"/>
              </w:rPr>
            </w:pPr>
          </w:p>
        </w:tc>
        <w:tc>
          <w:tcPr>
            <w:tcW w:w="1755" w:type="pct"/>
            <w:vAlign w:val="center"/>
          </w:tcPr>
          <w:p>
            <w:pPr>
              <w:spacing w:line="276"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321" w:type="pct"/>
            <w:vAlign w:val="center"/>
          </w:tcPr>
          <w:p>
            <w:pPr>
              <w:spacing w:line="276" w:lineRule="auto"/>
              <w:jc w:val="center"/>
              <w:rPr>
                <w:rFonts w:ascii="宋体" w:hAnsi="宋体"/>
                <w:b/>
                <w:sz w:val="24"/>
                <w:szCs w:val="24"/>
              </w:rPr>
            </w:pPr>
            <w:r>
              <w:rPr>
                <w:rFonts w:hint="eastAsia" w:ascii="宋体" w:hAnsi="宋体"/>
                <w:b/>
                <w:sz w:val="24"/>
                <w:szCs w:val="24"/>
              </w:rPr>
              <w:t>合计</w:t>
            </w:r>
          </w:p>
        </w:tc>
        <w:tc>
          <w:tcPr>
            <w:tcW w:w="3679" w:type="pct"/>
            <w:gridSpan w:val="2"/>
            <w:vAlign w:val="center"/>
          </w:tcPr>
          <w:p>
            <w:pPr>
              <w:spacing w:line="276" w:lineRule="auto"/>
              <w:jc w:val="center"/>
              <w:rPr>
                <w:rFonts w:ascii="宋体" w:hAnsi="宋体"/>
                <w:b/>
                <w:sz w:val="24"/>
                <w:szCs w:val="24"/>
              </w:rPr>
            </w:pPr>
          </w:p>
        </w:tc>
      </w:tr>
    </w:tbl>
    <w:p>
      <w:pPr>
        <w:widowControl/>
        <w:jc w:val="left"/>
        <w:rPr>
          <w:rFonts w:ascii="宋体" w:hAnsi="宋体"/>
          <w:sz w:val="24"/>
        </w:rPr>
      </w:pPr>
      <w:r>
        <w:rPr>
          <w:rFonts w:hint="eastAsia" w:ascii="宋体" w:hAnsi="宋体"/>
          <w:sz w:val="24"/>
        </w:rPr>
        <w:t>注：报价时与</w:t>
      </w:r>
      <w:r>
        <w:rPr>
          <w:rFonts w:hint="eastAsia" w:ascii="宋体" w:hAnsi="宋体"/>
          <w:bCs/>
          <w:sz w:val="24"/>
          <w:szCs w:val="30"/>
        </w:rPr>
        <w:t>开标一览表一同单独密封提供，同时将此表装订在响应文件中。</w:t>
      </w:r>
    </w:p>
    <w:p>
      <w:pPr>
        <w:spacing w:line="520" w:lineRule="exact"/>
        <w:rPr>
          <w:rFonts w:ascii="宋体" w:hAnsi="宋体"/>
          <w:sz w:val="24"/>
        </w:rPr>
      </w:pPr>
    </w:p>
    <w:p>
      <w:pPr>
        <w:spacing w:line="520" w:lineRule="exact"/>
        <w:rPr>
          <w:rFonts w:ascii="宋体" w:hAnsi="宋体"/>
          <w:sz w:val="24"/>
          <w:u w:val="single"/>
        </w:rPr>
      </w:pPr>
      <w:r>
        <w:rPr>
          <w:rFonts w:hint="eastAsia" w:ascii="宋体" w:hAnsi="宋体"/>
          <w:sz w:val="24"/>
        </w:rPr>
        <w:t>供应商（公章）：</w:t>
      </w:r>
      <w:r>
        <w:rPr>
          <w:rFonts w:hint="eastAsia" w:ascii="宋体" w:hAnsi="宋体"/>
          <w:sz w:val="24"/>
          <w:u w:val="single"/>
        </w:rPr>
        <w:t xml:space="preserve">                         </w:t>
      </w:r>
    </w:p>
    <w:p>
      <w:pPr>
        <w:spacing w:line="520" w:lineRule="exact"/>
        <w:rPr>
          <w:rFonts w:ascii="宋体" w:hAnsi="宋体"/>
          <w:sz w:val="24"/>
        </w:rPr>
      </w:pPr>
      <w:r>
        <w:rPr>
          <w:rFonts w:hint="eastAsia" w:ascii="宋体"/>
          <w:sz w:val="24"/>
        </w:rPr>
        <w:t>法定代表人或其授权人签字：</w:t>
      </w:r>
      <w:r>
        <w:rPr>
          <w:rFonts w:ascii="宋体"/>
          <w:sz w:val="24"/>
          <w:u w:val="single"/>
        </w:rPr>
        <w:t xml:space="preserve">                </w:t>
      </w:r>
      <w:r>
        <w:rPr>
          <w:rFonts w:ascii="宋体"/>
          <w:sz w:val="24"/>
        </w:rPr>
        <w:t xml:space="preserve"> </w:t>
      </w:r>
    </w:p>
    <w:p>
      <w:pPr>
        <w:spacing w:line="520" w:lineRule="exact"/>
        <w:rPr>
          <w:rFonts w:ascii="宋体"/>
          <w:b/>
          <w:bCs/>
          <w:sz w:val="24"/>
        </w:rPr>
      </w:pPr>
      <w:r>
        <w:rPr>
          <w:rFonts w:hint="eastAsia" w:ascii="宋体"/>
          <w:sz w:val="24"/>
        </w:rPr>
        <w:t>日</w:t>
      </w:r>
      <w:r>
        <w:rPr>
          <w:rFonts w:ascii="宋体"/>
          <w:sz w:val="24"/>
        </w:rPr>
        <w:t xml:space="preserve">        </w:t>
      </w:r>
      <w:r>
        <w:rPr>
          <w:rFonts w:hint="eastAsia" w:ascii="宋体"/>
          <w:sz w:val="24"/>
        </w:rPr>
        <w:t>期：</w:t>
      </w:r>
      <w:r>
        <w:rPr>
          <w:rFonts w:ascii="宋体"/>
          <w:sz w:val="24"/>
          <w:u w:val="single"/>
        </w:rPr>
        <w:t xml:space="preserve">                </w:t>
      </w:r>
      <w:r>
        <w:rPr>
          <w:rFonts w:ascii="宋体"/>
          <w:sz w:val="24"/>
        </w:rPr>
        <w:t xml:space="preserve"> </w:t>
      </w:r>
    </w:p>
    <w:p>
      <w:pPr>
        <w:spacing w:before="240" w:after="240"/>
        <w:jc w:val="center"/>
        <w:rPr>
          <w:b/>
          <w:snapToGrid w:val="0"/>
          <w:sz w:val="44"/>
          <w:szCs w:val="44"/>
        </w:rPr>
        <w:sectPr>
          <w:headerReference r:id="rId4" w:type="first"/>
          <w:footerReference r:id="rId6" w:type="first"/>
          <w:headerReference r:id="rId3" w:type="default"/>
          <w:footerReference r:id="rId5" w:type="default"/>
          <w:pgSz w:w="11906" w:h="16838"/>
          <w:pgMar w:top="1134" w:right="1559" w:bottom="1440" w:left="1587" w:header="567" w:footer="992" w:gutter="0"/>
          <w:cols w:space="425" w:num="1"/>
          <w:titlePg/>
          <w:docGrid w:type="lines" w:linePitch="312" w:charSpace="0"/>
        </w:sectPr>
      </w:pPr>
    </w:p>
    <w:p>
      <w:pPr>
        <w:pStyle w:val="145"/>
        <w:numPr>
          <w:ilvl w:val="0"/>
          <w:numId w:val="0"/>
        </w:numPr>
        <w:jc w:val="left"/>
        <w:rPr>
          <w:rFonts w:hint="eastAsia" w:ascii="黑体" w:hAnsi="黑体" w:eastAsia="黑体" w:cs="黑体"/>
          <w:b/>
          <w:bCs/>
          <w:sz w:val="30"/>
          <w:szCs w:val="30"/>
        </w:rPr>
      </w:pPr>
      <w:r>
        <w:rPr>
          <w:rFonts w:hint="eastAsia" w:ascii="黑体" w:hAnsi="黑体" w:eastAsia="黑体" w:cs="黑体"/>
          <w:b/>
          <w:bCs/>
          <w:sz w:val="30"/>
          <w:szCs w:val="30"/>
          <w:lang w:eastAsia="zh-CN"/>
        </w:rPr>
        <w:t>（一）</w:t>
      </w:r>
      <w:r>
        <w:rPr>
          <w:rFonts w:hint="eastAsia" w:ascii="黑体" w:hAnsi="黑体" w:eastAsia="黑体" w:cs="黑体"/>
          <w:b/>
          <w:bCs/>
          <w:sz w:val="30"/>
          <w:szCs w:val="30"/>
        </w:rPr>
        <w:t>年度作业场所职业病危害因素检测明细</w:t>
      </w:r>
    </w:p>
    <w:p>
      <w:pPr>
        <w:rPr>
          <w:rFonts w:ascii="宋体" w:hAnsi="宋体"/>
          <w:b/>
          <w:bCs/>
          <w:sz w:val="30"/>
          <w:szCs w:val="30"/>
        </w:rPr>
      </w:pPr>
      <w:r>
        <w:rPr>
          <w:rFonts w:hint="eastAsia" w:ascii="宋体" w:hAnsi="宋体"/>
          <w:b/>
          <w:bCs/>
          <w:sz w:val="30"/>
          <w:szCs w:val="30"/>
        </w:rPr>
        <w:t>1、华云电厂</w:t>
      </w:r>
    </w:p>
    <w:tbl>
      <w:tblPr>
        <w:tblStyle w:val="54"/>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697"/>
        <w:gridCol w:w="953"/>
        <w:gridCol w:w="5541"/>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blHeader/>
          <w:jc w:val="center"/>
        </w:trPr>
        <w:tc>
          <w:tcPr>
            <w:tcW w:w="849" w:type="dxa"/>
            <w:noWrap w:val="0"/>
            <w:vAlign w:val="center"/>
          </w:tcPr>
          <w:p>
            <w:pPr>
              <w:rPr>
                <w:rFonts w:hint="eastAsia"/>
                <w:sz w:val="24"/>
                <w:szCs w:val="24"/>
              </w:rPr>
            </w:pPr>
            <w:r>
              <w:rPr>
                <w:rFonts w:hint="eastAsia"/>
                <w:sz w:val="24"/>
                <w:szCs w:val="24"/>
              </w:rPr>
              <w:t>评价单元</w:t>
            </w:r>
          </w:p>
        </w:tc>
        <w:tc>
          <w:tcPr>
            <w:tcW w:w="1650" w:type="dxa"/>
            <w:gridSpan w:val="2"/>
            <w:noWrap w:val="0"/>
            <w:vAlign w:val="center"/>
          </w:tcPr>
          <w:p>
            <w:pPr>
              <w:rPr>
                <w:rFonts w:hint="eastAsia"/>
                <w:sz w:val="24"/>
                <w:szCs w:val="24"/>
              </w:rPr>
            </w:pPr>
            <w:r>
              <w:rPr>
                <w:rFonts w:hint="eastAsia"/>
                <w:sz w:val="24"/>
                <w:szCs w:val="24"/>
              </w:rPr>
              <w:t>评价子单元</w:t>
            </w:r>
          </w:p>
        </w:tc>
        <w:tc>
          <w:tcPr>
            <w:tcW w:w="5541" w:type="dxa"/>
            <w:noWrap w:val="0"/>
            <w:vAlign w:val="center"/>
          </w:tcPr>
          <w:p>
            <w:pPr>
              <w:rPr>
                <w:rFonts w:hint="eastAsia"/>
                <w:sz w:val="24"/>
                <w:szCs w:val="24"/>
              </w:rPr>
            </w:pPr>
            <w:r>
              <w:rPr>
                <w:rFonts w:hint="eastAsia"/>
                <w:sz w:val="24"/>
                <w:szCs w:val="24"/>
              </w:rPr>
              <w:t>工序及存在的危害因素</w:t>
            </w:r>
          </w:p>
        </w:tc>
        <w:tc>
          <w:tcPr>
            <w:tcW w:w="1642" w:type="dxa"/>
            <w:noWrap w:val="0"/>
            <w:vAlign w:val="center"/>
          </w:tcPr>
          <w:p>
            <w:pPr>
              <w:rPr>
                <w:rFonts w:hint="eastAsia" w:eastAsia="宋体"/>
                <w:sz w:val="24"/>
                <w:szCs w:val="24"/>
                <w:lang w:eastAsia="zh-CN"/>
              </w:rPr>
            </w:pPr>
            <w:r>
              <w:rPr>
                <w:rFonts w:hint="eastAsia"/>
                <w:sz w:val="24"/>
                <w:szCs w:val="24"/>
                <w:lang w:eastAsia="zh-CN"/>
              </w:rPr>
              <w:t>检测价格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849" w:type="dxa"/>
            <w:vMerge w:val="restart"/>
            <w:noWrap w:val="0"/>
            <w:vAlign w:val="center"/>
          </w:tcPr>
          <w:p>
            <w:pPr>
              <w:rPr>
                <w:rFonts w:hint="eastAsia"/>
                <w:sz w:val="24"/>
                <w:szCs w:val="24"/>
              </w:rPr>
            </w:pPr>
            <w:r>
              <w:rPr>
                <w:rFonts w:hint="eastAsia"/>
                <w:sz w:val="24"/>
                <w:szCs w:val="24"/>
              </w:rPr>
              <w:t>生产单元</w:t>
            </w:r>
          </w:p>
        </w:tc>
        <w:tc>
          <w:tcPr>
            <w:tcW w:w="1650" w:type="dxa"/>
            <w:gridSpan w:val="2"/>
            <w:noWrap w:val="0"/>
            <w:vAlign w:val="center"/>
          </w:tcPr>
          <w:p>
            <w:pPr>
              <w:rPr>
                <w:rFonts w:hint="eastAsia"/>
                <w:sz w:val="24"/>
                <w:szCs w:val="24"/>
              </w:rPr>
            </w:pPr>
            <w:r>
              <w:rPr>
                <w:rFonts w:hint="eastAsia"/>
                <w:sz w:val="24"/>
                <w:szCs w:val="24"/>
              </w:rPr>
              <w:t>输煤系统</w:t>
            </w:r>
          </w:p>
        </w:tc>
        <w:tc>
          <w:tcPr>
            <w:tcW w:w="5541"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卸煤、贮煤、输煤、远程控制</w:t>
            </w:r>
          </w:p>
          <w:p>
            <w:pPr>
              <w:rPr>
                <w:rFonts w:hint="eastAsia" w:ascii="宋体" w:hAnsi="宋体" w:eastAsia="宋体" w:cs="宋体"/>
                <w:color w:val="auto"/>
                <w:sz w:val="24"/>
                <w:szCs w:val="24"/>
              </w:rPr>
            </w:pPr>
            <w:r>
              <w:rPr>
                <w:rFonts w:hint="eastAsia" w:ascii="宋体" w:hAnsi="宋体" w:eastAsia="宋体" w:cs="宋体"/>
                <w:color w:val="auto"/>
                <w:sz w:val="24"/>
                <w:szCs w:val="24"/>
              </w:rPr>
              <w:t>危害因素：粉尘、噪声</w:t>
            </w:r>
          </w:p>
        </w:tc>
        <w:tc>
          <w:tcPr>
            <w:tcW w:w="1642"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exact"/>
          <w:jc w:val="center"/>
        </w:trPr>
        <w:tc>
          <w:tcPr>
            <w:tcW w:w="849" w:type="dxa"/>
            <w:vMerge w:val="continue"/>
            <w:noWrap w:val="0"/>
            <w:vAlign w:val="center"/>
          </w:tcPr>
          <w:p>
            <w:pPr>
              <w:rPr>
                <w:rFonts w:hint="eastAsia"/>
                <w:sz w:val="24"/>
                <w:szCs w:val="24"/>
              </w:rPr>
            </w:pPr>
          </w:p>
        </w:tc>
        <w:tc>
          <w:tcPr>
            <w:tcW w:w="1650" w:type="dxa"/>
            <w:gridSpan w:val="2"/>
            <w:noWrap w:val="0"/>
            <w:vAlign w:val="center"/>
          </w:tcPr>
          <w:p>
            <w:pPr>
              <w:rPr>
                <w:rFonts w:hint="eastAsia"/>
                <w:sz w:val="24"/>
                <w:szCs w:val="24"/>
              </w:rPr>
            </w:pPr>
            <w:r>
              <w:rPr>
                <w:rFonts w:hint="eastAsia"/>
                <w:sz w:val="24"/>
                <w:szCs w:val="24"/>
              </w:rPr>
              <w:t>制粉及锅炉燃烧系统</w:t>
            </w:r>
          </w:p>
        </w:tc>
        <w:tc>
          <w:tcPr>
            <w:tcW w:w="5541"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煤粉制备、锅炉燃烧</w:t>
            </w:r>
          </w:p>
          <w:p>
            <w:pPr>
              <w:rPr>
                <w:rFonts w:hint="eastAsia" w:ascii="宋体" w:hAnsi="宋体" w:eastAsia="宋体" w:cs="宋体"/>
                <w:color w:val="auto"/>
                <w:sz w:val="24"/>
                <w:szCs w:val="24"/>
              </w:rPr>
            </w:pPr>
            <w:r>
              <w:rPr>
                <w:rFonts w:hint="eastAsia" w:ascii="宋体" w:hAnsi="宋体" w:eastAsia="宋体" w:cs="宋体"/>
                <w:color w:val="auto"/>
                <w:sz w:val="24"/>
                <w:szCs w:val="24"/>
              </w:rPr>
              <w:t>危害因素：粉尘、噪声、一氧化碳、氮氧化物、二氧化硫、高温</w:t>
            </w:r>
          </w:p>
        </w:tc>
        <w:tc>
          <w:tcPr>
            <w:tcW w:w="1642"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849" w:type="dxa"/>
            <w:vMerge w:val="continue"/>
            <w:noWrap w:val="0"/>
            <w:vAlign w:val="center"/>
          </w:tcPr>
          <w:p>
            <w:pPr>
              <w:rPr>
                <w:rFonts w:hint="eastAsia"/>
                <w:sz w:val="24"/>
                <w:szCs w:val="24"/>
              </w:rPr>
            </w:pPr>
          </w:p>
        </w:tc>
        <w:tc>
          <w:tcPr>
            <w:tcW w:w="1650" w:type="dxa"/>
            <w:gridSpan w:val="2"/>
            <w:noWrap w:val="0"/>
            <w:vAlign w:val="center"/>
          </w:tcPr>
          <w:p>
            <w:pPr>
              <w:rPr>
                <w:rFonts w:hint="eastAsia"/>
                <w:sz w:val="24"/>
                <w:szCs w:val="24"/>
              </w:rPr>
            </w:pPr>
            <w:r>
              <w:rPr>
                <w:rFonts w:hint="eastAsia"/>
                <w:sz w:val="24"/>
                <w:szCs w:val="24"/>
              </w:rPr>
              <w:t>汽轮机与发电及输变系统</w:t>
            </w:r>
          </w:p>
        </w:tc>
        <w:tc>
          <w:tcPr>
            <w:tcW w:w="5541"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汽轮机、给水系统、回热抽汽系统、凝结水系统、加热器疏水及放气系统、辅助蒸汽系统、冷却水系统、凝汽器抽真空系统润滑油净化、储存及排空系统、发电机、直流系统和不停电电源系统、继电保护及自动装置</w:t>
            </w:r>
          </w:p>
          <w:p>
            <w:pPr>
              <w:rPr>
                <w:rFonts w:hint="eastAsia" w:ascii="宋体" w:hAnsi="宋体" w:eastAsia="宋体" w:cs="宋体"/>
                <w:color w:val="auto"/>
                <w:sz w:val="24"/>
                <w:szCs w:val="24"/>
              </w:rPr>
            </w:pPr>
            <w:r>
              <w:rPr>
                <w:rFonts w:hint="eastAsia" w:ascii="宋体" w:hAnsi="宋体" w:eastAsia="宋体" w:cs="宋体"/>
                <w:color w:val="auto"/>
                <w:sz w:val="24"/>
                <w:szCs w:val="24"/>
              </w:rPr>
              <w:t>危害因素：噪声、工频电场</w:t>
            </w:r>
          </w:p>
        </w:tc>
        <w:tc>
          <w:tcPr>
            <w:tcW w:w="1642"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849" w:type="dxa"/>
            <w:vMerge w:val="restart"/>
            <w:noWrap w:val="0"/>
            <w:vAlign w:val="center"/>
          </w:tcPr>
          <w:p>
            <w:pPr>
              <w:rPr>
                <w:rFonts w:hint="eastAsia"/>
                <w:sz w:val="24"/>
                <w:szCs w:val="24"/>
              </w:rPr>
            </w:pPr>
            <w:r>
              <w:rPr>
                <w:rFonts w:hint="eastAsia"/>
                <w:sz w:val="24"/>
                <w:szCs w:val="24"/>
              </w:rPr>
              <w:t>辅助单元</w:t>
            </w:r>
          </w:p>
        </w:tc>
        <w:tc>
          <w:tcPr>
            <w:tcW w:w="1650" w:type="dxa"/>
            <w:gridSpan w:val="2"/>
            <w:noWrap w:val="0"/>
            <w:vAlign w:val="center"/>
          </w:tcPr>
          <w:p>
            <w:pPr>
              <w:rPr>
                <w:rFonts w:hint="eastAsia"/>
                <w:sz w:val="24"/>
                <w:szCs w:val="24"/>
              </w:rPr>
            </w:pPr>
            <w:r>
              <w:rPr>
                <w:rFonts w:hint="eastAsia"/>
                <w:sz w:val="24"/>
                <w:szCs w:val="24"/>
              </w:rPr>
              <w:t>化学水处理系统</w:t>
            </w:r>
          </w:p>
        </w:tc>
        <w:tc>
          <w:tcPr>
            <w:tcW w:w="5541"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锅炉补给水处理系统、凝结水精处理系统、化学加药系统、机组排水槽处理系统、中水深度处理系统、</w:t>
            </w:r>
          </w:p>
          <w:p>
            <w:pPr>
              <w:rPr>
                <w:rFonts w:hint="eastAsia" w:ascii="宋体" w:hAnsi="宋体" w:eastAsia="宋体" w:cs="宋体"/>
                <w:color w:val="auto"/>
                <w:sz w:val="24"/>
                <w:szCs w:val="24"/>
              </w:rPr>
            </w:pPr>
            <w:r>
              <w:rPr>
                <w:rFonts w:hint="eastAsia" w:ascii="宋体" w:hAnsi="宋体" w:eastAsia="宋体" w:cs="宋体"/>
                <w:color w:val="auto"/>
                <w:sz w:val="24"/>
                <w:szCs w:val="24"/>
              </w:rPr>
              <w:t>危害因素：盐酸、氢氧化钠、硫化氢、氨、联氨、硫酸、噪声</w:t>
            </w:r>
          </w:p>
        </w:tc>
        <w:tc>
          <w:tcPr>
            <w:tcW w:w="1642"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849" w:type="dxa"/>
            <w:vMerge w:val="continue"/>
            <w:noWrap w:val="0"/>
            <w:vAlign w:val="center"/>
          </w:tcPr>
          <w:p>
            <w:pPr>
              <w:rPr>
                <w:rFonts w:hint="eastAsia"/>
                <w:sz w:val="24"/>
                <w:szCs w:val="24"/>
              </w:rPr>
            </w:pPr>
          </w:p>
        </w:tc>
        <w:tc>
          <w:tcPr>
            <w:tcW w:w="697" w:type="dxa"/>
            <w:vMerge w:val="restart"/>
            <w:noWrap w:val="0"/>
            <w:vAlign w:val="center"/>
          </w:tcPr>
          <w:p>
            <w:pPr>
              <w:rPr>
                <w:rFonts w:hint="eastAsia"/>
                <w:sz w:val="24"/>
                <w:szCs w:val="24"/>
              </w:rPr>
            </w:pPr>
            <w:r>
              <w:rPr>
                <w:rFonts w:hint="eastAsia"/>
                <w:sz w:val="24"/>
                <w:szCs w:val="24"/>
              </w:rPr>
              <w:t>除脱系统</w:t>
            </w:r>
          </w:p>
        </w:tc>
        <w:tc>
          <w:tcPr>
            <w:tcW w:w="953" w:type="dxa"/>
            <w:noWrap w:val="0"/>
            <w:vAlign w:val="center"/>
          </w:tcPr>
          <w:p>
            <w:pPr>
              <w:rPr>
                <w:rFonts w:hint="eastAsia"/>
                <w:sz w:val="24"/>
                <w:szCs w:val="24"/>
              </w:rPr>
            </w:pPr>
            <w:r>
              <w:rPr>
                <w:rFonts w:hint="eastAsia"/>
                <w:sz w:val="24"/>
                <w:szCs w:val="24"/>
              </w:rPr>
              <w:t>除灰渣系统</w:t>
            </w:r>
          </w:p>
        </w:tc>
        <w:tc>
          <w:tcPr>
            <w:tcW w:w="5541"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除灰系统、除渣系统</w:t>
            </w:r>
          </w:p>
          <w:p>
            <w:pPr>
              <w:rPr>
                <w:rFonts w:hint="eastAsia" w:ascii="宋体" w:hAnsi="宋体" w:eastAsia="宋体" w:cs="宋体"/>
                <w:color w:val="auto"/>
                <w:sz w:val="24"/>
                <w:szCs w:val="24"/>
              </w:rPr>
            </w:pPr>
            <w:r>
              <w:rPr>
                <w:rFonts w:hint="eastAsia" w:ascii="宋体" w:hAnsi="宋体" w:eastAsia="宋体" w:cs="宋体"/>
                <w:color w:val="auto"/>
                <w:sz w:val="24"/>
                <w:szCs w:val="24"/>
              </w:rPr>
              <w:t>危害因素：粉尘、噪声</w:t>
            </w:r>
          </w:p>
        </w:tc>
        <w:tc>
          <w:tcPr>
            <w:tcW w:w="1642"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jc w:val="center"/>
        </w:trPr>
        <w:tc>
          <w:tcPr>
            <w:tcW w:w="849" w:type="dxa"/>
            <w:vMerge w:val="continue"/>
            <w:noWrap w:val="0"/>
            <w:vAlign w:val="center"/>
          </w:tcPr>
          <w:p>
            <w:pPr>
              <w:rPr>
                <w:rFonts w:hint="eastAsia"/>
                <w:sz w:val="24"/>
                <w:szCs w:val="24"/>
              </w:rPr>
            </w:pPr>
          </w:p>
        </w:tc>
        <w:tc>
          <w:tcPr>
            <w:tcW w:w="697" w:type="dxa"/>
            <w:vMerge w:val="continue"/>
            <w:noWrap w:val="0"/>
            <w:vAlign w:val="center"/>
          </w:tcPr>
          <w:p>
            <w:pPr>
              <w:rPr>
                <w:rFonts w:hint="eastAsia"/>
                <w:sz w:val="24"/>
                <w:szCs w:val="24"/>
              </w:rPr>
            </w:pPr>
          </w:p>
        </w:tc>
        <w:tc>
          <w:tcPr>
            <w:tcW w:w="953" w:type="dxa"/>
            <w:noWrap w:val="0"/>
            <w:vAlign w:val="center"/>
          </w:tcPr>
          <w:p>
            <w:pPr>
              <w:rPr>
                <w:rFonts w:hint="eastAsia"/>
                <w:sz w:val="24"/>
                <w:szCs w:val="24"/>
              </w:rPr>
            </w:pPr>
            <w:r>
              <w:rPr>
                <w:rFonts w:hint="eastAsia"/>
                <w:sz w:val="24"/>
                <w:szCs w:val="24"/>
              </w:rPr>
              <w:t>烟气脱硝系统</w:t>
            </w:r>
          </w:p>
        </w:tc>
        <w:tc>
          <w:tcPr>
            <w:tcW w:w="5541"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脱硝装置</w:t>
            </w:r>
          </w:p>
          <w:p>
            <w:pPr>
              <w:rPr>
                <w:rFonts w:hint="eastAsia" w:ascii="宋体" w:hAnsi="宋体" w:eastAsia="宋体" w:cs="宋体"/>
                <w:color w:val="auto"/>
                <w:sz w:val="24"/>
                <w:szCs w:val="24"/>
              </w:rPr>
            </w:pPr>
            <w:r>
              <w:rPr>
                <w:rFonts w:hint="eastAsia" w:ascii="宋体" w:hAnsi="宋体" w:eastAsia="宋体" w:cs="宋体"/>
                <w:color w:val="auto"/>
                <w:sz w:val="24"/>
                <w:szCs w:val="24"/>
              </w:rPr>
              <w:t>危害因素：氨、噪声、高温</w:t>
            </w:r>
          </w:p>
        </w:tc>
        <w:tc>
          <w:tcPr>
            <w:tcW w:w="1642"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exact"/>
          <w:jc w:val="center"/>
        </w:trPr>
        <w:tc>
          <w:tcPr>
            <w:tcW w:w="849" w:type="dxa"/>
            <w:vMerge w:val="continue"/>
            <w:noWrap w:val="0"/>
            <w:vAlign w:val="center"/>
          </w:tcPr>
          <w:p>
            <w:pPr>
              <w:rPr>
                <w:rFonts w:hint="eastAsia"/>
                <w:sz w:val="24"/>
                <w:szCs w:val="24"/>
              </w:rPr>
            </w:pPr>
          </w:p>
        </w:tc>
        <w:tc>
          <w:tcPr>
            <w:tcW w:w="697" w:type="dxa"/>
            <w:vMerge w:val="continue"/>
            <w:noWrap w:val="0"/>
            <w:vAlign w:val="center"/>
          </w:tcPr>
          <w:p>
            <w:pPr>
              <w:rPr>
                <w:rFonts w:hint="eastAsia"/>
                <w:sz w:val="24"/>
                <w:szCs w:val="24"/>
              </w:rPr>
            </w:pPr>
          </w:p>
        </w:tc>
        <w:tc>
          <w:tcPr>
            <w:tcW w:w="953" w:type="dxa"/>
            <w:noWrap w:val="0"/>
            <w:vAlign w:val="center"/>
          </w:tcPr>
          <w:p>
            <w:pPr>
              <w:rPr>
                <w:rFonts w:hint="eastAsia"/>
                <w:sz w:val="24"/>
                <w:szCs w:val="24"/>
              </w:rPr>
            </w:pPr>
            <w:r>
              <w:rPr>
                <w:rFonts w:hint="eastAsia"/>
                <w:sz w:val="24"/>
                <w:szCs w:val="24"/>
              </w:rPr>
              <w:t>烟气脱硫系统</w:t>
            </w:r>
          </w:p>
        </w:tc>
        <w:tc>
          <w:tcPr>
            <w:tcW w:w="5541"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石灰石-石膏湿法脱硫系统、脱硫塔</w:t>
            </w:r>
          </w:p>
          <w:p>
            <w:pPr>
              <w:rPr>
                <w:rFonts w:hint="eastAsia" w:ascii="宋体" w:hAnsi="宋体" w:eastAsia="宋体" w:cs="宋体"/>
                <w:color w:val="auto"/>
                <w:sz w:val="24"/>
                <w:szCs w:val="24"/>
              </w:rPr>
            </w:pPr>
            <w:r>
              <w:rPr>
                <w:rFonts w:hint="eastAsia" w:ascii="宋体" w:hAnsi="宋体" w:eastAsia="宋体" w:cs="宋体"/>
                <w:color w:val="auto"/>
                <w:sz w:val="24"/>
                <w:szCs w:val="24"/>
              </w:rPr>
              <w:t>危害因素：</w:t>
            </w:r>
            <w:r>
              <w:rPr>
                <w:rFonts w:hint="eastAsia" w:ascii="宋体" w:hAnsi="宋体" w:eastAsia="宋体" w:cs="仿宋_GB2312"/>
                <w:color w:val="auto"/>
                <w:sz w:val="24"/>
                <w:szCs w:val="24"/>
              </w:rPr>
              <w:t>粉尘、噪声、</w:t>
            </w:r>
            <w:r>
              <w:rPr>
                <w:rFonts w:hint="eastAsia" w:ascii="宋体" w:hAnsi="宋体" w:eastAsia="宋体" w:cs="仿宋_GB2312"/>
                <w:color w:val="auto"/>
                <w:sz w:val="24"/>
                <w:szCs w:val="24"/>
                <w:lang w:eastAsia="zh-CN"/>
              </w:rPr>
              <w:t>石灰石粉</w:t>
            </w:r>
          </w:p>
        </w:tc>
        <w:tc>
          <w:tcPr>
            <w:tcW w:w="1642"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849" w:type="dxa"/>
            <w:vMerge w:val="continue"/>
            <w:noWrap w:val="0"/>
            <w:vAlign w:val="center"/>
          </w:tcPr>
          <w:p>
            <w:pPr>
              <w:rPr>
                <w:rFonts w:hint="eastAsia"/>
                <w:sz w:val="24"/>
                <w:szCs w:val="24"/>
              </w:rPr>
            </w:pPr>
          </w:p>
        </w:tc>
        <w:tc>
          <w:tcPr>
            <w:tcW w:w="1650" w:type="dxa"/>
            <w:gridSpan w:val="2"/>
            <w:noWrap w:val="0"/>
            <w:vAlign w:val="center"/>
          </w:tcPr>
          <w:p>
            <w:pPr>
              <w:rPr>
                <w:rFonts w:hint="eastAsia"/>
                <w:sz w:val="24"/>
                <w:szCs w:val="24"/>
              </w:rPr>
            </w:pPr>
            <w:r>
              <w:rPr>
                <w:rFonts w:hint="eastAsia"/>
                <w:sz w:val="24"/>
                <w:szCs w:val="24"/>
              </w:rPr>
              <w:t>自动化控制系统</w:t>
            </w:r>
          </w:p>
        </w:tc>
        <w:tc>
          <w:tcPr>
            <w:tcW w:w="5541"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DCS系统</w:t>
            </w:r>
          </w:p>
        </w:tc>
        <w:tc>
          <w:tcPr>
            <w:tcW w:w="1642" w:type="dxa"/>
            <w:noWrap w:val="0"/>
            <w:vAlign w:val="center"/>
          </w:tcPr>
          <w:p>
            <w:pP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不测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exact"/>
          <w:jc w:val="center"/>
        </w:trPr>
        <w:tc>
          <w:tcPr>
            <w:tcW w:w="849" w:type="dxa"/>
            <w:vMerge w:val="continue"/>
            <w:noWrap w:val="0"/>
            <w:vAlign w:val="center"/>
          </w:tcPr>
          <w:p>
            <w:pPr>
              <w:rPr>
                <w:rFonts w:hint="eastAsia"/>
                <w:sz w:val="24"/>
                <w:szCs w:val="24"/>
              </w:rPr>
            </w:pPr>
          </w:p>
        </w:tc>
        <w:tc>
          <w:tcPr>
            <w:tcW w:w="1650" w:type="dxa"/>
            <w:gridSpan w:val="2"/>
            <w:noWrap w:val="0"/>
            <w:vAlign w:val="center"/>
          </w:tcPr>
          <w:p>
            <w:pPr>
              <w:rPr>
                <w:rFonts w:hint="eastAsia"/>
                <w:sz w:val="24"/>
                <w:szCs w:val="24"/>
              </w:rPr>
            </w:pPr>
            <w:r>
              <w:rPr>
                <w:rFonts w:hint="eastAsia"/>
                <w:sz w:val="24"/>
                <w:szCs w:val="24"/>
              </w:rPr>
              <w:t>检维修</w:t>
            </w:r>
          </w:p>
        </w:tc>
        <w:tc>
          <w:tcPr>
            <w:tcW w:w="5541"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工人在对锅炉、汽机等设备维修</w:t>
            </w:r>
          </w:p>
          <w:p>
            <w:pPr>
              <w:rPr>
                <w:rFonts w:hint="eastAsia" w:ascii="宋体" w:hAnsi="宋体" w:eastAsia="宋体" w:cs="宋体"/>
                <w:color w:val="auto"/>
                <w:sz w:val="24"/>
                <w:szCs w:val="24"/>
              </w:rPr>
            </w:pPr>
            <w:r>
              <w:rPr>
                <w:rFonts w:hint="eastAsia" w:ascii="宋体" w:hAnsi="宋体" w:eastAsia="宋体" w:cs="宋体"/>
                <w:color w:val="auto"/>
                <w:sz w:val="24"/>
                <w:szCs w:val="24"/>
              </w:rPr>
              <w:t>危害因素：电焊烟尘、锰及其化合物、氮氧化物、二氧化硫、噪声、高温、一氧化碳、紫外辐射、粉尘</w:t>
            </w:r>
          </w:p>
        </w:tc>
        <w:tc>
          <w:tcPr>
            <w:tcW w:w="1642"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849" w:type="dxa"/>
            <w:vMerge w:val="restart"/>
            <w:noWrap w:val="0"/>
            <w:vAlign w:val="center"/>
          </w:tcPr>
          <w:p>
            <w:pPr>
              <w:rPr>
                <w:rFonts w:hint="eastAsia"/>
                <w:sz w:val="24"/>
                <w:szCs w:val="24"/>
              </w:rPr>
            </w:pPr>
            <w:r>
              <w:rPr>
                <w:rFonts w:hint="eastAsia"/>
                <w:sz w:val="24"/>
                <w:szCs w:val="24"/>
              </w:rPr>
              <w:t>公用单元</w:t>
            </w:r>
          </w:p>
        </w:tc>
        <w:tc>
          <w:tcPr>
            <w:tcW w:w="1650" w:type="dxa"/>
            <w:gridSpan w:val="2"/>
            <w:noWrap w:val="0"/>
            <w:vAlign w:val="center"/>
          </w:tcPr>
          <w:p>
            <w:pPr>
              <w:rPr>
                <w:rFonts w:hint="eastAsia"/>
                <w:sz w:val="24"/>
                <w:szCs w:val="24"/>
              </w:rPr>
            </w:pPr>
            <w:r>
              <w:rPr>
                <w:rFonts w:hint="eastAsia"/>
                <w:sz w:val="24"/>
                <w:szCs w:val="24"/>
              </w:rPr>
              <w:t>给水</w:t>
            </w:r>
          </w:p>
        </w:tc>
        <w:tc>
          <w:tcPr>
            <w:tcW w:w="5541"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生活给水、生产给水</w:t>
            </w:r>
          </w:p>
          <w:p>
            <w:pPr>
              <w:rPr>
                <w:rFonts w:hint="eastAsia" w:ascii="宋体" w:hAnsi="宋体" w:eastAsia="宋体" w:cs="宋体"/>
                <w:color w:val="auto"/>
                <w:sz w:val="24"/>
                <w:szCs w:val="24"/>
              </w:rPr>
            </w:pPr>
            <w:r>
              <w:rPr>
                <w:rFonts w:hint="eastAsia" w:ascii="宋体" w:hAnsi="宋体" w:eastAsia="宋体" w:cs="宋体"/>
                <w:color w:val="auto"/>
                <w:sz w:val="24"/>
                <w:szCs w:val="24"/>
              </w:rPr>
              <w:t>危害因素：噪声</w:t>
            </w:r>
          </w:p>
        </w:tc>
        <w:tc>
          <w:tcPr>
            <w:tcW w:w="1642"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849" w:type="dxa"/>
            <w:vMerge w:val="continue"/>
            <w:noWrap w:val="0"/>
            <w:vAlign w:val="center"/>
          </w:tcPr>
          <w:p>
            <w:pPr>
              <w:rPr>
                <w:rFonts w:hint="eastAsia"/>
                <w:sz w:val="24"/>
                <w:szCs w:val="24"/>
              </w:rPr>
            </w:pPr>
          </w:p>
        </w:tc>
        <w:tc>
          <w:tcPr>
            <w:tcW w:w="1650" w:type="dxa"/>
            <w:gridSpan w:val="2"/>
            <w:noWrap w:val="0"/>
            <w:vAlign w:val="center"/>
          </w:tcPr>
          <w:p>
            <w:pPr>
              <w:rPr>
                <w:rFonts w:hint="eastAsia"/>
                <w:sz w:val="24"/>
                <w:szCs w:val="24"/>
              </w:rPr>
            </w:pPr>
            <w:r>
              <w:rPr>
                <w:rFonts w:hint="eastAsia"/>
                <w:sz w:val="24"/>
                <w:szCs w:val="24"/>
              </w:rPr>
              <w:t>排水</w:t>
            </w:r>
          </w:p>
        </w:tc>
        <w:tc>
          <w:tcPr>
            <w:tcW w:w="5541" w:type="dxa"/>
            <w:noWrap w:val="0"/>
            <w:vAlign w:val="center"/>
          </w:tcPr>
          <w:p>
            <w:pPr>
              <w:rPr>
                <w:rFonts w:hint="eastAsia"/>
                <w:sz w:val="24"/>
                <w:szCs w:val="24"/>
              </w:rPr>
            </w:pPr>
            <w:r>
              <w:rPr>
                <w:rFonts w:hint="eastAsia"/>
                <w:sz w:val="24"/>
                <w:szCs w:val="24"/>
              </w:rPr>
              <w:t>生活排水、生产排水、雨水排放</w:t>
            </w:r>
          </w:p>
        </w:tc>
        <w:tc>
          <w:tcPr>
            <w:tcW w:w="1642" w:type="dxa"/>
            <w:noWrap w:val="0"/>
            <w:vAlign w:val="center"/>
          </w:tcPr>
          <w:p>
            <w:pPr>
              <w:rPr>
                <w:rFonts w:hint="eastAsia" w:eastAsia="宋体"/>
                <w:sz w:val="24"/>
                <w:szCs w:val="24"/>
                <w:lang w:eastAsia="zh-CN"/>
              </w:rPr>
            </w:pPr>
            <w:r>
              <w:rPr>
                <w:rFonts w:hint="eastAsia"/>
                <w:sz w:val="24"/>
                <w:szCs w:val="24"/>
                <w:lang w:eastAsia="zh-CN"/>
              </w:rPr>
              <w:t>不测</w:t>
            </w:r>
          </w:p>
        </w:tc>
      </w:tr>
    </w:tbl>
    <w:p>
      <w:pPr>
        <w:jc w:val="left"/>
        <w:outlineLvl w:val="0"/>
        <w:rPr>
          <w:rFonts w:ascii="宋体" w:hAnsi="宋体"/>
          <w:b/>
          <w:bCs/>
          <w:sz w:val="30"/>
          <w:szCs w:val="30"/>
        </w:rPr>
      </w:pPr>
      <w:r>
        <w:rPr>
          <w:rFonts w:hint="eastAsia" w:ascii="宋体" w:hAnsi="宋体"/>
          <w:b/>
          <w:bCs/>
          <w:sz w:val="30"/>
          <w:szCs w:val="30"/>
        </w:rPr>
        <w:t>2、华云一厂、华云动力厂</w:t>
      </w:r>
    </w:p>
    <w:tbl>
      <w:tblPr>
        <w:tblStyle w:val="54"/>
        <w:tblW w:w="5225" w:type="pct"/>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91"/>
        <w:gridCol w:w="1413"/>
        <w:gridCol w:w="5029"/>
        <w:gridCol w:w="697"/>
        <w:gridCol w:w="1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blHeader/>
        </w:trPr>
        <w:tc>
          <w:tcPr>
            <w:tcW w:w="467" w:type="pct"/>
            <w:noWrap w:val="0"/>
            <w:vAlign w:val="center"/>
          </w:tcPr>
          <w:p>
            <w:pPr>
              <w:rPr>
                <w:rFonts w:hint="eastAsia"/>
                <w:sz w:val="24"/>
                <w:szCs w:val="24"/>
              </w:rPr>
            </w:pPr>
            <w:r>
              <w:rPr>
                <w:rFonts w:hint="eastAsia"/>
                <w:w w:val="95"/>
                <w:sz w:val="24"/>
                <w:szCs w:val="24"/>
              </w:rPr>
              <w:t>评价单元</w:t>
            </w:r>
          </w:p>
        </w:tc>
        <w:tc>
          <w:tcPr>
            <w:tcW w:w="740" w:type="pct"/>
            <w:noWrap w:val="0"/>
            <w:vAlign w:val="center"/>
          </w:tcPr>
          <w:p>
            <w:pPr>
              <w:rPr>
                <w:rFonts w:hint="eastAsia"/>
                <w:sz w:val="24"/>
                <w:szCs w:val="24"/>
              </w:rPr>
            </w:pPr>
            <w:r>
              <w:rPr>
                <w:rFonts w:hint="eastAsia"/>
                <w:w w:val="95"/>
                <w:sz w:val="24"/>
                <w:szCs w:val="24"/>
              </w:rPr>
              <w:t>评价子单元</w:t>
            </w:r>
          </w:p>
        </w:tc>
        <w:tc>
          <w:tcPr>
            <w:tcW w:w="2634" w:type="pct"/>
            <w:noWrap w:val="0"/>
            <w:vAlign w:val="center"/>
          </w:tcPr>
          <w:p>
            <w:pPr>
              <w:rPr>
                <w:rFonts w:hint="eastAsia"/>
                <w:sz w:val="24"/>
                <w:szCs w:val="24"/>
              </w:rPr>
            </w:pPr>
            <w:r>
              <w:rPr>
                <w:rFonts w:hint="eastAsia"/>
                <w:sz w:val="24"/>
                <w:szCs w:val="24"/>
              </w:rPr>
              <w:t>工序及存在的危害因素</w:t>
            </w:r>
          </w:p>
        </w:tc>
        <w:tc>
          <w:tcPr>
            <w:tcW w:w="365" w:type="pct"/>
            <w:noWrap w:val="0"/>
            <w:vAlign w:val="center"/>
          </w:tcPr>
          <w:p>
            <w:pPr>
              <w:rPr>
                <w:rFonts w:hint="eastAsia"/>
                <w:w w:val="95"/>
                <w:sz w:val="24"/>
                <w:szCs w:val="24"/>
              </w:rPr>
            </w:pPr>
            <w:r>
              <w:rPr>
                <w:rFonts w:hint="eastAsia"/>
                <w:w w:val="95"/>
                <w:sz w:val="24"/>
                <w:szCs w:val="24"/>
              </w:rPr>
              <w:t>备注</w:t>
            </w:r>
          </w:p>
        </w:tc>
        <w:tc>
          <w:tcPr>
            <w:tcW w:w="792" w:type="pct"/>
            <w:noWrap w:val="0"/>
            <w:vAlign w:val="center"/>
          </w:tcPr>
          <w:p>
            <w:pPr>
              <w:rPr>
                <w:rFonts w:hint="eastAsia" w:eastAsia="宋体"/>
                <w:w w:val="95"/>
                <w:sz w:val="24"/>
                <w:szCs w:val="24"/>
                <w:lang w:eastAsia="zh-CN"/>
              </w:rPr>
            </w:pPr>
            <w:r>
              <w:rPr>
                <w:rFonts w:hint="eastAsia"/>
                <w:w w:val="95"/>
                <w:sz w:val="24"/>
                <w:szCs w:val="24"/>
                <w:lang w:eastAsia="zh-CN"/>
              </w:rPr>
              <w:t>检测价格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3" w:hRule="atLeast"/>
        </w:trPr>
        <w:tc>
          <w:tcPr>
            <w:tcW w:w="467" w:type="pct"/>
            <w:vMerge w:val="restart"/>
            <w:noWrap w:val="0"/>
            <w:vAlign w:val="center"/>
          </w:tcPr>
          <w:p>
            <w:pPr>
              <w:rPr>
                <w:rFonts w:hint="eastAsia"/>
                <w:sz w:val="24"/>
                <w:szCs w:val="24"/>
              </w:rPr>
            </w:pPr>
            <w:r>
              <w:rPr>
                <w:rFonts w:hint="eastAsia"/>
                <w:sz w:val="24"/>
                <w:szCs w:val="24"/>
              </w:rPr>
              <w:t>生产单元</w:t>
            </w:r>
          </w:p>
        </w:tc>
        <w:tc>
          <w:tcPr>
            <w:tcW w:w="740" w:type="pct"/>
            <w:noWrap w:val="0"/>
            <w:vAlign w:val="center"/>
          </w:tcPr>
          <w:p>
            <w:pPr>
              <w:rPr>
                <w:rFonts w:hint="eastAsia"/>
                <w:sz w:val="24"/>
                <w:szCs w:val="24"/>
              </w:rPr>
            </w:pPr>
            <w:r>
              <w:rPr>
                <w:rFonts w:hint="eastAsia"/>
                <w:sz w:val="24"/>
                <w:szCs w:val="24"/>
              </w:rPr>
              <w:t>电解铝车间</w:t>
            </w:r>
          </w:p>
        </w:tc>
        <w:tc>
          <w:tcPr>
            <w:tcW w:w="2634" w:type="pct"/>
            <w:noWrap w:val="0"/>
            <w:vAlign w:val="center"/>
          </w:tcPr>
          <w:p>
            <w:pPr>
              <w:rPr>
                <w:rFonts w:hint="eastAsia"/>
                <w:sz w:val="24"/>
                <w:szCs w:val="24"/>
              </w:rPr>
            </w:pPr>
            <w:r>
              <w:rPr>
                <w:rFonts w:hint="eastAsia"/>
                <w:sz w:val="24"/>
                <w:szCs w:val="24"/>
              </w:rPr>
              <w:t>厂房的建设及 342 台 SY500 预焙阳极电解槽、电解多功能机组、真空抬包、下料系统等设备</w:t>
            </w:r>
          </w:p>
          <w:p>
            <w:pPr>
              <w:rPr>
                <w:rFonts w:hint="eastAsia"/>
                <w:sz w:val="24"/>
                <w:szCs w:val="24"/>
              </w:rPr>
            </w:pPr>
            <w:r>
              <w:rPr>
                <w:rFonts w:hint="eastAsia"/>
                <w:sz w:val="24"/>
                <w:szCs w:val="24"/>
              </w:rPr>
              <w:t>危害因素：</w:t>
            </w:r>
            <w:r>
              <w:rPr>
                <w:rStyle w:val="90"/>
                <w:rFonts w:hint="eastAsia" w:ascii="宋体" w:hAnsi="宋体"/>
                <w:sz w:val="24"/>
                <w:szCs w:val="24"/>
              </w:rPr>
              <w:t>危害因素：高温、粉尘、噪声、氟化物、</w:t>
            </w:r>
            <w:r>
              <w:rPr>
                <w:rStyle w:val="90"/>
                <w:rFonts w:hint="eastAsia" w:ascii="宋体" w:hAnsi="宋体"/>
                <w:sz w:val="24"/>
                <w:szCs w:val="24"/>
                <w:lang w:eastAsia="zh-CN"/>
              </w:rPr>
              <w:t>二氧化硫、一氧化碳、</w:t>
            </w:r>
            <w:r>
              <w:rPr>
                <w:rStyle w:val="90"/>
                <w:rFonts w:hint="eastAsia" w:ascii="宋体" w:hAnsi="宋体"/>
                <w:sz w:val="24"/>
                <w:szCs w:val="24"/>
              </w:rPr>
              <w:t>电磁场</w:t>
            </w:r>
          </w:p>
        </w:tc>
        <w:tc>
          <w:tcPr>
            <w:tcW w:w="365" w:type="pct"/>
            <w:noWrap w:val="0"/>
            <w:vAlign w:val="center"/>
          </w:tcPr>
          <w:p>
            <w:pPr>
              <w:rPr>
                <w:rFonts w:hint="eastAsia"/>
                <w:w w:val="95"/>
                <w:sz w:val="24"/>
                <w:szCs w:val="24"/>
              </w:rPr>
            </w:pPr>
            <w:r>
              <w:rPr>
                <w:rFonts w:hint="eastAsia"/>
                <w:w w:val="95"/>
                <w:sz w:val="24"/>
                <w:szCs w:val="24"/>
              </w:rPr>
              <w:t>——</w:t>
            </w:r>
          </w:p>
        </w:tc>
        <w:tc>
          <w:tcPr>
            <w:tcW w:w="792" w:type="pct"/>
            <w:noWrap w:val="0"/>
            <w:vAlign w:val="center"/>
          </w:tcPr>
          <w:p>
            <w:pP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467" w:type="pct"/>
            <w:vMerge w:val="continue"/>
            <w:tcBorders>
              <w:top w:val="nil"/>
            </w:tcBorders>
            <w:noWrap w:val="0"/>
            <w:vAlign w:val="center"/>
          </w:tcPr>
          <w:p>
            <w:pPr>
              <w:rPr>
                <w:rFonts w:hint="eastAsia"/>
                <w:sz w:val="24"/>
                <w:szCs w:val="24"/>
              </w:rPr>
            </w:pPr>
          </w:p>
        </w:tc>
        <w:tc>
          <w:tcPr>
            <w:tcW w:w="740" w:type="pct"/>
            <w:noWrap w:val="0"/>
            <w:vAlign w:val="center"/>
          </w:tcPr>
          <w:p>
            <w:pPr>
              <w:rPr>
                <w:rFonts w:hint="eastAsia"/>
                <w:sz w:val="24"/>
                <w:szCs w:val="24"/>
              </w:rPr>
            </w:pPr>
            <w:r>
              <w:rPr>
                <w:rFonts w:hint="eastAsia"/>
                <w:sz w:val="24"/>
                <w:szCs w:val="24"/>
              </w:rPr>
              <w:t>铸造车间</w:t>
            </w:r>
          </w:p>
        </w:tc>
        <w:tc>
          <w:tcPr>
            <w:tcW w:w="2634" w:type="pct"/>
            <w:noWrap w:val="0"/>
            <w:vAlign w:val="center"/>
          </w:tcPr>
          <w:p>
            <w:pPr>
              <w:rPr>
                <w:rFonts w:hint="eastAsia"/>
                <w:sz w:val="24"/>
                <w:szCs w:val="24"/>
              </w:rPr>
            </w:pPr>
            <w:r>
              <w:rPr>
                <w:rFonts w:hint="eastAsia"/>
                <w:sz w:val="24"/>
                <w:szCs w:val="24"/>
              </w:rPr>
              <w:t>厂房的建设及混合炉、铝锭连续铸造机、扒渣车等设备</w:t>
            </w:r>
          </w:p>
          <w:p>
            <w:pPr>
              <w:rPr>
                <w:rFonts w:hint="eastAsia" w:eastAsia="宋体"/>
                <w:sz w:val="24"/>
                <w:szCs w:val="24"/>
                <w:lang w:eastAsia="zh-CN"/>
              </w:rPr>
            </w:pPr>
            <w:r>
              <w:rPr>
                <w:rFonts w:hint="eastAsia"/>
                <w:sz w:val="24"/>
                <w:szCs w:val="24"/>
              </w:rPr>
              <w:t>危害因素：粉尘、高温、噪声</w:t>
            </w:r>
            <w:r>
              <w:rPr>
                <w:rFonts w:hint="eastAsia"/>
                <w:sz w:val="24"/>
                <w:szCs w:val="24"/>
                <w:lang w:eastAsia="zh-CN"/>
              </w:rPr>
              <w:t>、一氧化碳</w:t>
            </w:r>
          </w:p>
        </w:tc>
        <w:tc>
          <w:tcPr>
            <w:tcW w:w="365" w:type="pct"/>
            <w:noWrap w:val="0"/>
            <w:vAlign w:val="center"/>
          </w:tcPr>
          <w:p>
            <w:pPr>
              <w:rPr>
                <w:rFonts w:hint="eastAsia"/>
                <w:w w:val="95"/>
                <w:sz w:val="24"/>
                <w:szCs w:val="24"/>
              </w:rPr>
            </w:pPr>
            <w:r>
              <w:rPr>
                <w:rFonts w:hint="eastAsia"/>
                <w:w w:val="95"/>
                <w:sz w:val="24"/>
                <w:szCs w:val="24"/>
              </w:rPr>
              <w:t>——</w:t>
            </w:r>
          </w:p>
        </w:tc>
        <w:tc>
          <w:tcPr>
            <w:tcW w:w="792" w:type="pct"/>
            <w:noWrap w:val="0"/>
            <w:vAlign w:val="center"/>
          </w:tcPr>
          <w:p>
            <w:pP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467" w:type="pct"/>
            <w:vMerge w:val="continue"/>
            <w:tcBorders>
              <w:top w:val="nil"/>
            </w:tcBorders>
            <w:noWrap w:val="0"/>
            <w:vAlign w:val="center"/>
          </w:tcPr>
          <w:p>
            <w:pPr>
              <w:rPr>
                <w:rFonts w:hint="eastAsia"/>
                <w:sz w:val="24"/>
                <w:szCs w:val="24"/>
              </w:rPr>
            </w:pPr>
          </w:p>
        </w:tc>
        <w:tc>
          <w:tcPr>
            <w:tcW w:w="740" w:type="pct"/>
            <w:noWrap w:val="0"/>
            <w:vAlign w:val="center"/>
          </w:tcPr>
          <w:p>
            <w:pPr>
              <w:rPr>
                <w:rFonts w:hint="eastAsia"/>
                <w:sz w:val="24"/>
                <w:szCs w:val="24"/>
              </w:rPr>
            </w:pPr>
            <w:r>
              <w:rPr>
                <w:rFonts w:hint="eastAsia"/>
                <w:sz w:val="24"/>
                <w:szCs w:val="24"/>
              </w:rPr>
              <w:t>组装车间</w:t>
            </w:r>
          </w:p>
        </w:tc>
        <w:tc>
          <w:tcPr>
            <w:tcW w:w="2634" w:type="pct"/>
            <w:noWrap w:val="0"/>
            <w:vAlign w:val="center"/>
          </w:tcPr>
          <w:p>
            <w:pPr>
              <w:rPr>
                <w:rFonts w:hint="eastAsia"/>
                <w:sz w:val="24"/>
                <w:szCs w:val="24"/>
              </w:rPr>
            </w:pPr>
            <w:r>
              <w:rPr>
                <w:rFonts w:hint="eastAsia"/>
                <w:sz w:val="24"/>
                <w:szCs w:val="24"/>
              </w:rPr>
              <w:t>厂房的建设及 3t 中频炉、电解质清理机、残极清理滚筒系统、残极压脱机等设备。</w:t>
            </w:r>
          </w:p>
          <w:p>
            <w:pPr>
              <w:rPr>
                <w:rFonts w:hint="eastAsia" w:eastAsia="宋体"/>
                <w:sz w:val="24"/>
                <w:szCs w:val="24"/>
                <w:lang w:eastAsia="zh-CN"/>
              </w:rPr>
            </w:pPr>
            <w:r>
              <w:rPr>
                <w:rFonts w:hint="eastAsia"/>
                <w:sz w:val="24"/>
                <w:szCs w:val="24"/>
              </w:rPr>
              <w:t>危害因素：噪声、高温、粉尘</w:t>
            </w:r>
          </w:p>
        </w:tc>
        <w:tc>
          <w:tcPr>
            <w:tcW w:w="365" w:type="pct"/>
            <w:noWrap w:val="0"/>
            <w:vAlign w:val="center"/>
          </w:tcPr>
          <w:p>
            <w:pPr>
              <w:rPr>
                <w:rFonts w:hint="eastAsia"/>
                <w:w w:val="95"/>
                <w:sz w:val="24"/>
                <w:szCs w:val="24"/>
              </w:rPr>
            </w:pPr>
            <w:r>
              <w:rPr>
                <w:rFonts w:hint="eastAsia"/>
                <w:w w:val="95"/>
                <w:sz w:val="24"/>
                <w:szCs w:val="24"/>
              </w:rPr>
              <w:t>——</w:t>
            </w:r>
          </w:p>
        </w:tc>
        <w:tc>
          <w:tcPr>
            <w:tcW w:w="792" w:type="pct"/>
            <w:noWrap w:val="0"/>
            <w:vAlign w:val="center"/>
          </w:tcPr>
          <w:p>
            <w:pP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2" w:hRule="atLeast"/>
        </w:trPr>
        <w:tc>
          <w:tcPr>
            <w:tcW w:w="467" w:type="pct"/>
            <w:vMerge w:val="continue"/>
            <w:tcBorders>
              <w:top w:val="nil"/>
            </w:tcBorders>
            <w:noWrap w:val="0"/>
            <w:vAlign w:val="center"/>
          </w:tcPr>
          <w:p>
            <w:pPr>
              <w:rPr>
                <w:rFonts w:hint="eastAsia"/>
                <w:sz w:val="24"/>
                <w:szCs w:val="24"/>
              </w:rPr>
            </w:pPr>
          </w:p>
        </w:tc>
        <w:tc>
          <w:tcPr>
            <w:tcW w:w="740" w:type="pct"/>
            <w:noWrap w:val="0"/>
            <w:vAlign w:val="center"/>
          </w:tcPr>
          <w:p>
            <w:pPr>
              <w:rPr>
                <w:rFonts w:hint="eastAsia"/>
                <w:sz w:val="24"/>
                <w:szCs w:val="24"/>
              </w:rPr>
            </w:pPr>
            <w:r>
              <w:rPr>
                <w:rFonts w:hint="eastAsia"/>
                <w:sz w:val="24"/>
                <w:szCs w:val="24"/>
              </w:rPr>
              <w:t>烟气净化系统</w:t>
            </w:r>
          </w:p>
        </w:tc>
        <w:tc>
          <w:tcPr>
            <w:tcW w:w="2634" w:type="pct"/>
            <w:noWrap w:val="0"/>
            <w:vAlign w:val="center"/>
          </w:tcPr>
          <w:p>
            <w:pPr>
              <w:rPr>
                <w:rFonts w:hint="eastAsia"/>
                <w:sz w:val="24"/>
                <w:szCs w:val="24"/>
              </w:rPr>
            </w:pPr>
            <w:r>
              <w:rPr>
                <w:rFonts w:hint="eastAsia"/>
                <w:sz w:val="24"/>
                <w:szCs w:val="24"/>
              </w:rPr>
              <w:t>厂房的建设及新鲜氧化铝仓、载氟氧化铝仓、主排烟风机、脉冲布袋除尘器、提升机、高压离心风机；半干法脱硫系统等设备。</w:t>
            </w:r>
          </w:p>
          <w:p>
            <w:pPr>
              <w:rPr>
                <w:rFonts w:hint="eastAsia" w:eastAsia="宋体"/>
                <w:sz w:val="24"/>
                <w:szCs w:val="24"/>
                <w:lang w:eastAsia="zh-CN"/>
              </w:rPr>
            </w:pPr>
            <w:r>
              <w:rPr>
                <w:rFonts w:hint="eastAsia"/>
                <w:sz w:val="24"/>
                <w:szCs w:val="24"/>
              </w:rPr>
              <w:t>危害因素：</w:t>
            </w:r>
            <w:r>
              <w:rPr>
                <w:rFonts w:hint="eastAsia" w:ascii="宋体" w:hAnsi="宋体"/>
                <w:sz w:val="24"/>
                <w:szCs w:val="24"/>
              </w:rPr>
              <w:t>氟化物、</w:t>
            </w:r>
            <w:r>
              <w:rPr>
                <w:rFonts w:hint="eastAsia" w:ascii="宋体" w:hAnsi="宋体"/>
                <w:sz w:val="24"/>
                <w:szCs w:val="24"/>
                <w:lang w:eastAsia="zh-CN"/>
              </w:rPr>
              <w:t>二氧化硫、</w:t>
            </w:r>
            <w:r>
              <w:rPr>
                <w:rFonts w:hint="eastAsia" w:ascii="宋体" w:hAnsi="宋体"/>
                <w:sz w:val="24"/>
                <w:szCs w:val="24"/>
              </w:rPr>
              <w:t>粉尘、高温、噪声</w:t>
            </w:r>
            <w:r>
              <w:rPr>
                <w:rFonts w:hint="eastAsia" w:ascii="宋体" w:hAnsi="宋体"/>
                <w:sz w:val="24"/>
                <w:szCs w:val="24"/>
                <w:lang w:eastAsia="zh-CN"/>
              </w:rPr>
              <w:t>、</w:t>
            </w:r>
            <w:r>
              <w:rPr>
                <w:rStyle w:val="90"/>
                <w:rFonts w:hint="eastAsia" w:ascii="宋体" w:hAnsi="宋体"/>
                <w:sz w:val="24"/>
                <w:szCs w:val="24"/>
                <w:lang w:eastAsia="zh-CN"/>
              </w:rPr>
              <w:t>一氧化碳</w:t>
            </w:r>
          </w:p>
        </w:tc>
        <w:tc>
          <w:tcPr>
            <w:tcW w:w="365" w:type="pct"/>
            <w:noWrap w:val="0"/>
            <w:vAlign w:val="center"/>
          </w:tcPr>
          <w:p>
            <w:pPr>
              <w:rPr>
                <w:rFonts w:hint="eastAsia"/>
                <w:w w:val="95"/>
                <w:sz w:val="24"/>
                <w:szCs w:val="24"/>
              </w:rPr>
            </w:pPr>
            <w:r>
              <w:rPr>
                <w:rFonts w:hint="eastAsia"/>
                <w:w w:val="95"/>
                <w:sz w:val="24"/>
                <w:szCs w:val="24"/>
              </w:rPr>
              <w:t>——</w:t>
            </w:r>
          </w:p>
        </w:tc>
        <w:tc>
          <w:tcPr>
            <w:tcW w:w="792" w:type="pct"/>
            <w:noWrap w:val="0"/>
            <w:vAlign w:val="center"/>
          </w:tcPr>
          <w:p>
            <w:pP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467" w:type="pct"/>
            <w:vMerge w:val="restart"/>
            <w:noWrap w:val="0"/>
            <w:vAlign w:val="center"/>
          </w:tcPr>
          <w:p>
            <w:pPr>
              <w:rPr>
                <w:rFonts w:hint="eastAsia"/>
                <w:sz w:val="24"/>
                <w:szCs w:val="24"/>
              </w:rPr>
            </w:pPr>
            <w:r>
              <w:rPr>
                <w:rFonts w:hint="eastAsia"/>
                <w:sz w:val="24"/>
                <w:szCs w:val="24"/>
              </w:rPr>
              <w:t>辅助单元</w:t>
            </w:r>
          </w:p>
        </w:tc>
        <w:tc>
          <w:tcPr>
            <w:tcW w:w="740" w:type="pct"/>
            <w:noWrap w:val="0"/>
            <w:vAlign w:val="center"/>
          </w:tcPr>
          <w:p>
            <w:pPr>
              <w:rPr>
                <w:rFonts w:hint="eastAsia"/>
                <w:sz w:val="24"/>
                <w:szCs w:val="24"/>
              </w:rPr>
            </w:pPr>
            <w:r>
              <w:rPr>
                <w:rFonts w:hint="eastAsia"/>
                <w:sz w:val="24"/>
                <w:szCs w:val="24"/>
              </w:rPr>
              <w:t>冷却循环水系统</w:t>
            </w:r>
          </w:p>
        </w:tc>
        <w:tc>
          <w:tcPr>
            <w:tcW w:w="2634" w:type="pct"/>
            <w:noWrap w:val="0"/>
            <w:vAlign w:val="center"/>
          </w:tcPr>
          <w:p>
            <w:pPr>
              <w:rPr>
                <w:rFonts w:hint="eastAsia"/>
                <w:sz w:val="24"/>
                <w:szCs w:val="24"/>
              </w:rPr>
            </w:pPr>
            <w:r>
              <w:rPr>
                <w:rFonts w:hint="eastAsia"/>
                <w:sz w:val="24"/>
                <w:szCs w:val="24"/>
              </w:rPr>
              <w:t>冷却塔、水泵、管网等</w:t>
            </w:r>
          </w:p>
          <w:p>
            <w:pPr>
              <w:rPr>
                <w:rFonts w:hint="eastAsia"/>
                <w:sz w:val="24"/>
                <w:szCs w:val="24"/>
              </w:rPr>
            </w:pPr>
            <w:r>
              <w:rPr>
                <w:rFonts w:hint="eastAsia"/>
                <w:sz w:val="24"/>
                <w:szCs w:val="24"/>
              </w:rPr>
              <w:t>危害因素：噪声</w:t>
            </w:r>
          </w:p>
        </w:tc>
        <w:tc>
          <w:tcPr>
            <w:tcW w:w="365" w:type="pct"/>
            <w:noWrap w:val="0"/>
            <w:vAlign w:val="center"/>
          </w:tcPr>
          <w:p>
            <w:pPr>
              <w:rPr>
                <w:rFonts w:hint="eastAsia"/>
                <w:w w:val="95"/>
              </w:rPr>
            </w:pPr>
          </w:p>
        </w:tc>
        <w:tc>
          <w:tcPr>
            <w:tcW w:w="792" w:type="pct"/>
            <w:noWrap w:val="0"/>
            <w:vAlign w:val="center"/>
          </w:tcPr>
          <w:p>
            <w:pPr>
              <w:rPr>
                <w:rFonts w:hint="eastAsia"/>
                <w:w w:val="9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467" w:type="pct"/>
            <w:vMerge w:val="continue"/>
            <w:noWrap w:val="0"/>
            <w:vAlign w:val="center"/>
          </w:tcPr>
          <w:p>
            <w:pPr>
              <w:rPr>
                <w:rFonts w:hint="eastAsia"/>
                <w:sz w:val="24"/>
                <w:szCs w:val="24"/>
              </w:rPr>
            </w:pPr>
          </w:p>
        </w:tc>
        <w:tc>
          <w:tcPr>
            <w:tcW w:w="740" w:type="pct"/>
            <w:noWrap w:val="0"/>
            <w:vAlign w:val="center"/>
          </w:tcPr>
          <w:p>
            <w:pPr>
              <w:rPr>
                <w:rFonts w:hint="eastAsia"/>
                <w:sz w:val="24"/>
                <w:szCs w:val="24"/>
              </w:rPr>
            </w:pPr>
            <w:r>
              <w:rPr>
                <w:rFonts w:hint="eastAsia"/>
                <w:sz w:val="24"/>
                <w:szCs w:val="24"/>
              </w:rPr>
              <w:t>空压站</w:t>
            </w:r>
          </w:p>
        </w:tc>
        <w:tc>
          <w:tcPr>
            <w:tcW w:w="2634" w:type="pct"/>
            <w:noWrap w:val="0"/>
            <w:vAlign w:val="center"/>
          </w:tcPr>
          <w:p>
            <w:pPr>
              <w:rPr>
                <w:rFonts w:hint="eastAsia"/>
                <w:sz w:val="24"/>
                <w:szCs w:val="24"/>
              </w:rPr>
            </w:pPr>
            <w:r>
              <w:rPr>
                <w:rFonts w:hint="eastAsia"/>
                <w:sz w:val="24"/>
                <w:szCs w:val="24"/>
              </w:rPr>
              <w:t>空压机、储气罐</w:t>
            </w:r>
          </w:p>
          <w:p>
            <w:pPr>
              <w:rPr>
                <w:rFonts w:hint="eastAsia"/>
                <w:sz w:val="24"/>
                <w:szCs w:val="24"/>
              </w:rPr>
            </w:pPr>
            <w:r>
              <w:rPr>
                <w:rFonts w:hint="eastAsia"/>
                <w:sz w:val="24"/>
                <w:szCs w:val="24"/>
              </w:rPr>
              <w:t>危害因素：噪声</w:t>
            </w:r>
          </w:p>
        </w:tc>
        <w:tc>
          <w:tcPr>
            <w:tcW w:w="365" w:type="pct"/>
            <w:noWrap w:val="0"/>
            <w:vAlign w:val="center"/>
          </w:tcPr>
          <w:p>
            <w:pPr>
              <w:rPr>
                <w:rFonts w:hint="eastAsia"/>
                <w:w w:val="95"/>
                <w:sz w:val="24"/>
                <w:szCs w:val="24"/>
              </w:rPr>
            </w:pPr>
          </w:p>
        </w:tc>
        <w:tc>
          <w:tcPr>
            <w:tcW w:w="792" w:type="pct"/>
            <w:noWrap w:val="0"/>
            <w:vAlign w:val="center"/>
          </w:tcPr>
          <w:p>
            <w:pP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467" w:type="pct"/>
            <w:vMerge w:val="continue"/>
            <w:noWrap w:val="0"/>
            <w:vAlign w:val="center"/>
          </w:tcPr>
          <w:p>
            <w:pPr>
              <w:rPr>
                <w:rFonts w:hint="eastAsia"/>
                <w:sz w:val="24"/>
                <w:szCs w:val="24"/>
              </w:rPr>
            </w:pPr>
          </w:p>
        </w:tc>
        <w:tc>
          <w:tcPr>
            <w:tcW w:w="740" w:type="pct"/>
            <w:noWrap w:val="0"/>
            <w:vAlign w:val="center"/>
          </w:tcPr>
          <w:p>
            <w:pPr>
              <w:rPr>
                <w:rFonts w:hint="eastAsia"/>
                <w:color w:val="auto"/>
                <w:sz w:val="24"/>
                <w:szCs w:val="24"/>
              </w:rPr>
            </w:pPr>
            <w:r>
              <w:rPr>
                <w:rFonts w:hint="eastAsia"/>
                <w:color w:val="auto"/>
                <w:kern w:val="0"/>
                <w:sz w:val="24"/>
                <w:szCs w:val="24"/>
              </w:rPr>
              <w:t>清包车间</w:t>
            </w:r>
          </w:p>
        </w:tc>
        <w:tc>
          <w:tcPr>
            <w:tcW w:w="2634" w:type="pct"/>
            <w:noWrap w:val="0"/>
            <w:vAlign w:val="center"/>
          </w:tcPr>
          <w:p>
            <w:pPr>
              <w:rPr>
                <w:rFonts w:hint="eastAsia"/>
                <w:color w:val="auto"/>
                <w:kern w:val="0"/>
                <w:sz w:val="24"/>
                <w:szCs w:val="24"/>
              </w:rPr>
            </w:pPr>
            <w:r>
              <w:rPr>
                <w:rFonts w:hint="eastAsia"/>
                <w:color w:val="auto"/>
                <w:kern w:val="0"/>
                <w:sz w:val="24"/>
                <w:szCs w:val="24"/>
              </w:rPr>
              <w:t>厂房建设及抬包清理机、切砖机、风镐、吸铝管清理机等设备</w:t>
            </w:r>
          </w:p>
          <w:p>
            <w:pPr>
              <w:rPr>
                <w:rFonts w:hint="eastAsia"/>
                <w:color w:val="auto"/>
                <w:sz w:val="24"/>
                <w:szCs w:val="24"/>
              </w:rPr>
            </w:pPr>
            <w:r>
              <w:rPr>
                <w:rFonts w:hint="eastAsia"/>
                <w:color w:val="auto"/>
                <w:kern w:val="0"/>
                <w:sz w:val="24"/>
                <w:szCs w:val="24"/>
              </w:rPr>
              <w:t>危害因素：粉尘、噪声、手传振动。</w:t>
            </w:r>
          </w:p>
        </w:tc>
        <w:tc>
          <w:tcPr>
            <w:tcW w:w="365" w:type="pct"/>
            <w:noWrap w:val="0"/>
            <w:vAlign w:val="center"/>
          </w:tcPr>
          <w:p>
            <w:pPr>
              <w:jc w:val="center"/>
              <w:rPr>
                <w:rFonts w:hint="eastAsia"/>
                <w:w w:val="95"/>
                <w:sz w:val="24"/>
                <w:szCs w:val="24"/>
              </w:rPr>
            </w:pPr>
          </w:p>
        </w:tc>
        <w:tc>
          <w:tcPr>
            <w:tcW w:w="792" w:type="pct"/>
            <w:noWrap w:val="0"/>
            <w:vAlign w:val="center"/>
          </w:tcPr>
          <w:p>
            <w:pPr>
              <w:jc w:val="cente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467" w:type="pct"/>
            <w:vMerge w:val="continue"/>
            <w:noWrap w:val="0"/>
            <w:vAlign w:val="center"/>
          </w:tcPr>
          <w:p>
            <w:pPr>
              <w:rPr>
                <w:rFonts w:hint="eastAsia"/>
                <w:sz w:val="24"/>
                <w:szCs w:val="24"/>
              </w:rPr>
            </w:pPr>
          </w:p>
        </w:tc>
        <w:tc>
          <w:tcPr>
            <w:tcW w:w="740" w:type="pct"/>
            <w:noWrap w:val="0"/>
            <w:vAlign w:val="center"/>
          </w:tcPr>
          <w:p>
            <w:pPr>
              <w:rPr>
                <w:rFonts w:hint="eastAsia"/>
                <w:sz w:val="24"/>
                <w:szCs w:val="24"/>
              </w:rPr>
            </w:pPr>
            <w:r>
              <w:rPr>
                <w:rFonts w:hint="eastAsia"/>
                <w:sz w:val="24"/>
                <w:szCs w:val="24"/>
              </w:rPr>
              <w:t>检维修</w:t>
            </w:r>
          </w:p>
        </w:tc>
        <w:tc>
          <w:tcPr>
            <w:tcW w:w="2634" w:type="pct"/>
            <w:noWrap w:val="0"/>
            <w:vAlign w:val="center"/>
          </w:tcPr>
          <w:p>
            <w:pPr>
              <w:rPr>
                <w:rFonts w:hint="eastAsia"/>
                <w:sz w:val="24"/>
                <w:szCs w:val="24"/>
              </w:rPr>
            </w:pPr>
            <w:r>
              <w:rPr>
                <w:rFonts w:hint="eastAsia"/>
                <w:sz w:val="24"/>
                <w:szCs w:val="24"/>
              </w:rPr>
              <w:t>厂区各车间设备日常维护和检修</w:t>
            </w:r>
          </w:p>
          <w:p>
            <w:pPr>
              <w:rPr>
                <w:rFonts w:hint="eastAsia"/>
                <w:sz w:val="24"/>
                <w:szCs w:val="24"/>
              </w:rPr>
            </w:pPr>
            <w:r>
              <w:rPr>
                <w:rFonts w:hint="eastAsia"/>
                <w:sz w:val="24"/>
                <w:szCs w:val="24"/>
              </w:rPr>
              <w:t>危害因素：电焊烟尘、锰及其化合物、紫外辐射</w:t>
            </w:r>
          </w:p>
        </w:tc>
        <w:tc>
          <w:tcPr>
            <w:tcW w:w="365" w:type="pct"/>
            <w:noWrap w:val="0"/>
            <w:vAlign w:val="center"/>
          </w:tcPr>
          <w:p>
            <w:pPr>
              <w:jc w:val="center"/>
              <w:rPr>
                <w:rFonts w:hint="eastAsia"/>
                <w:w w:val="95"/>
                <w:sz w:val="24"/>
                <w:szCs w:val="24"/>
              </w:rPr>
            </w:pPr>
            <w:r>
              <w:rPr>
                <w:rFonts w:hint="eastAsia"/>
                <w:w w:val="95"/>
                <w:sz w:val="24"/>
                <w:szCs w:val="24"/>
              </w:rPr>
              <w:t>——</w:t>
            </w:r>
          </w:p>
        </w:tc>
        <w:tc>
          <w:tcPr>
            <w:tcW w:w="792" w:type="pct"/>
            <w:noWrap w:val="0"/>
            <w:vAlign w:val="center"/>
          </w:tcPr>
          <w:p>
            <w:pPr>
              <w:jc w:val="cente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467" w:type="pct"/>
            <w:vMerge w:val="continue"/>
            <w:noWrap w:val="0"/>
            <w:vAlign w:val="center"/>
          </w:tcPr>
          <w:p>
            <w:pPr>
              <w:rPr>
                <w:rFonts w:hint="eastAsia"/>
                <w:sz w:val="24"/>
                <w:szCs w:val="24"/>
              </w:rPr>
            </w:pPr>
          </w:p>
        </w:tc>
        <w:tc>
          <w:tcPr>
            <w:tcW w:w="740" w:type="pct"/>
            <w:noWrap w:val="0"/>
            <w:vAlign w:val="center"/>
          </w:tcPr>
          <w:p>
            <w:pPr>
              <w:rPr>
                <w:rFonts w:hint="eastAsia"/>
                <w:sz w:val="24"/>
                <w:szCs w:val="24"/>
              </w:rPr>
            </w:pPr>
            <w:r>
              <w:rPr>
                <w:rFonts w:hint="eastAsia"/>
                <w:sz w:val="24"/>
                <w:szCs w:val="24"/>
              </w:rPr>
              <w:t>视屏监控系统</w:t>
            </w:r>
          </w:p>
        </w:tc>
        <w:tc>
          <w:tcPr>
            <w:tcW w:w="2634" w:type="pct"/>
            <w:noWrap w:val="0"/>
            <w:vAlign w:val="center"/>
          </w:tcPr>
          <w:p>
            <w:pPr>
              <w:rPr>
                <w:rFonts w:hint="eastAsia"/>
                <w:sz w:val="24"/>
                <w:szCs w:val="24"/>
              </w:rPr>
            </w:pPr>
            <w:r>
              <w:rPr>
                <w:rFonts w:hint="eastAsia"/>
                <w:sz w:val="24"/>
                <w:szCs w:val="24"/>
              </w:rPr>
              <w:t>在电解烟气净化脱硫系统设置视频监控系统</w:t>
            </w:r>
          </w:p>
        </w:tc>
        <w:tc>
          <w:tcPr>
            <w:tcW w:w="365" w:type="pct"/>
            <w:noWrap w:val="0"/>
            <w:vAlign w:val="center"/>
          </w:tcPr>
          <w:p>
            <w:pPr>
              <w:jc w:val="center"/>
              <w:rPr>
                <w:rFonts w:hint="eastAsia"/>
                <w:w w:val="95"/>
                <w:sz w:val="24"/>
                <w:szCs w:val="24"/>
              </w:rPr>
            </w:pPr>
          </w:p>
        </w:tc>
        <w:tc>
          <w:tcPr>
            <w:tcW w:w="792" w:type="pct"/>
            <w:noWrap w:val="0"/>
            <w:vAlign w:val="center"/>
          </w:tcPr>
          <w:p>
            <w:pPr>
              <w:jc w:val="center"/>
              <w:rPr>
                <w:rFonts w:hint="eastAsia" w:eastAsia="宋体"/>
                <w:w w:val="95"/>
                <w:sz w:val="24"/>
                <w:szCs w:val="24"/>
                <w:lang w:eastAsia="zh-CN"/>
              </w:rPr>
            </w:pPr>
            <w:r>
              <w:rPr>
                <w:rFonts w:hint="eastAsia"/>
                <w:w w:val="95"/>
                <w:sz w:val="24"/>
                <w:szCs w:val="24"/>
                <w:lang w:eastAsia="zh-CN"/>
              </w:rPr>
              <w:t>不测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67" w:type="pct"/>
            <w:vMerge w:val="restart"/>
            <w:noWrap w:val="0"/>
            <w:vAlign w:val="center"/>
          </w:tcPr>
          <w:p>
            <w:pPr>
              <w:rPr>
                <w:rFonts w:hint="eastAsia"/>
                <w:sz w:val="24"/>
                <w:szCs w:val="24"/>
              </w:rPr>
            </w:pPr>
            <w:r>
              <w:rPr>
                <w:rFonts w:hint="eastAsia"/>
                <w:sz w:val="24"/>
                <w:szCs w:val="24"/>
              </w:rPr>
              <w:t>公用单元</w:t>
            </w:r>
          </w:p>
        </w:tc>
        <w:tc>
          <w:tcPr>
            <w:tcW w:w="740" w:type="pct"/>
            <w:noWrap w:val="0"/>
            <w:vAlign w:val="center"/>
          </w:tcPr>
          <w:p>
            <w:pPr>
              <w:rPr>
                <w:rFonts w:hint="eastAsia"/>
                <w:sz w:val="24"/>
                <w:szCs w:val="24"/>
              </w:rPr>
            </w:pPr>
            <w:r>
              <w:rPr>
                <w:rFonts w:hint="eastAsia"/>
                <w:sz w:val="24"/>
                <w:szCs w:val="24"/>
              </w:rPr>
              <w:t>给水</w:t>
            </w:r>
          </w:p>
        </w:tc>
        <w:tc>
          <w:tcPr>
            <w:tcW w:w="2634" w:type="pct"/>
            <w:noWrap w:val="0"/>
            <w:vAlign w:val="center"/>
          </w:tcPr>
          <w:p>
            <w:pPr>
              <w:rPr>
                <w:rFonts w:hint="eastAsia" w:eastAsia="宋体"/>
                <w:sz w:val="24"/>
                <w:szCs w:val="24"/>
                <w:lang w:eastAsia="zh-CN"/>
              </w:rPr>
            </w:pPr>
            <w:r>
              <w:rPr>
                <w:rFonts w:hint="eastAsia"/>
                <w:sz w:val="24"/>
                <w:szCs w:val="24"/>
                <w:lang w:eastAsia="zh-CN"/>
              </w:rPr>
              <w:t>自来水</w:t>
            </w:r>
            <w:r>
              <w:rPr>
                <w:rFonts w:hint="eastAsia"/>
                <w:sz w:val="24"/>
                <w:szCs w:val="24"/>
              </w:rPr>
              <w:t>给水管网</w:t>
            </w:r>
            <w:r>
              <w:rPr>
                <w:rFonts w:hint="eastAsia"/>
                <w:sz w:val="24"/>
                <w:szCs w:val="24"/>
                <w:lang w:eastAsia="zh-CN"/>
              </w:rPr>
              <w:t>供水</w:t>
            </w:r>
          </w:p>
        </w:tc>
        <w:tc>
          <w:tcPr>
            <w:tcW w:w="365" w:type="pct"/>
            <w:noWrap w:val="0"/>
            <w:vAlign w:val="center"/>
          </w:tcPr>
          <w:p>
            <w:pPr>
              <w:jc w:val="center"/>
              <w:rPr>
                <w:rFonts w:hint="eastAsia"/>
                <w:w w:val="95"/>
                <w:sz w:val="24"/>
                <w:szCs w:val="24"/>
              </w:rPr>
            </w:pPr>
          </w:p>
        </w:tc>
        <w:tc>
          <w:tcPr>
            <w:tcW w:w="792" w:type="pct"/>
            <w:noWrap w:val="0"/>
            <w:vAlign w:val="center"/>
          </w:tcPr>
          <w:p>
            <w:pPr>
              <w:jc w:val="center"/>
              <w:rPr>
                <w:rFonts w:hint="eastAsia" w:eastAsia="宋体"/>
                <w:w w:val="95"/>
                <w:sz w:val="24"/>
                <w:szCs w:val="24"/>
                <w:lang w:eastAsia="zh-CN"/>
              </w:rPr>
            </w:pPr>
            <w:r>
              <w:rPr>
                <w:rFonts w:hint="eastAsia"/>
                <w:w w:val="95"/>
                <w:sz w:val="24"/>
                <w:szCs w:val="24"/>
                <w:lang w:eastAsia="zh-CN"/>
              </w:rPr>
              <w:t>不测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467" w:type="pct"/>
            <w:vMerge w:val="continue"/>
            <w:noWrap w:val="0"/>
            <w:vAlign w:val="center"/>
          </w:tcPr>
          <w:p>
            <w:pPr>
              <w:rPr>
                <w:rFonts w:hint="eastAsia"/>
                <w:sz w:val="24"/>
                <w:szCs w:val="24"/>
              </w:rPr>
            </w:pPr>
          </w:p>
        </w:tc>
        <w:tc>
          <w:tcPr>
            <w:tcW w:w="740" w:type="pct"/>
            <w:noWrap w:val="0"/>
            <w:vAlign w:val="center"/>
          </w:tcPr>
          <w:p>
            <w:pPr>
              <w:rPr>
                <w:rFonts w:hint="eastAsia"/>
                <w:sz w:val="24"/>
                <w:szCs w:val="24"/>
              </w:rPr>
            </w:pPr>
            <w:r>
              <w:rPr>
                <w:rFonts w:hint="eastAsia"/>
                <w:sz w:val="24"/>
                <w:szCs w:val="24"/>
              </w:rPr>
              <w:t>排水</w:t>
            </w:r>
          </w:p>
        </w:tc>
        <w:tc>
          <w:tcPr>
            <w:tcW w:w="2634" w:type="pct"/>
            <w:noWrap w:val="0"/>
            <w:vAlign w:val="center"/>
          </w:tcPr>
          <w:p>
            <w:pPr>
              <w:rPr>
                <w:rFonts w:hint="eastAsia" w:eastAsia="宋体"/>
                <w:sz w:val="24"/>
                <w:szCs w:val="24"/>
                <w:lang w:eastAsia="zh-CN"/>
              </w:rPr>
            </w:pPr>
            <w:r>
              <w:rPr>
                <w:rFonts w:hint="eastAsia"/>
                <w:sz w:val="24"/>
                <w:szCs w:val="24"/>
              </w:rPr>
              <w:t>污水排入炭素厂厂区污水处理站处理</w:t>
            </w:r>
            <w:r>
              <w:rPr>
                <w:rFonts w:hint="eastAsia"/>
                <w:sz w:val="24"/>
                <w:szCs w:val="24"/>
                <w:lang w:eastAsia="zh-CN"/>
              </w:rPr>
              <w:t>后回用</w:t>
            </w:r>
          </w:p>
        </w:tc>
        <w:tc>
          <w:tcPr>
            <w:tcW w:w="365" w:type="pct"/>
            <w:noWrap w:val="0"/>
            <w:vAlign w:val="center"/>
          </w:tcPr>
          <w:p>
            <w:pPr>
              <w:jc w:val="center"/>
              <w:rPr>
                <w:rFonts w:hint="eastAsia"/>
                <w:w w:val="95"/>
                <w:sz w:val="24"/>
                <w:szCs w:val="24"/>
              </w:rPr>
            </w:pPr>
          </w:p>
        </w:tc>
        <w:tc>
          <w:tcPr>
            <w:tcW w:w="792" w:type="pct"/>
            <w:noWrap w:val="0"/>
            <w:vAlign w:val="center"/>
          </w:tcPr>
          <w:p>
            <w:pPr>
              <w:jc w:val="center"/>
              <w:rPr>
                <w:rFonts w:hint="eastAsia" w:eastAsia="宋体"/>
                <w:w w:val="95"/>
                <w:sz w:val="24"/>
                <w:szCs w:val="24"/>
                <w:lang w:eastAsia="zh-CN"/>
              </w:rPr>
            </w:pPr>
            <w:r>
              <w:rPr>
                <w:rFonts w:hint="eastAsia"/>
                <w:w w:val="95"/>
                <w:sz w:val="24"/>
                <w:szCs w:val="24"/>
                <w:lang w:eastAsia="zh-CN"/>
              </w:rPr>
              <w:t>不测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467" w:type="pct"/>
            <w:vMerge w:val="continue"/>
            <w:noWrap w:val="0"/>
            <w:vAlign w:val="center"/>
          </w:tcPr>
          <w:p>
            <w:pPr>
              <w:rPr>
                <w:rFonts w:hint="eastAsia"/>
                <w:sz w:val="24"/>
                <w:szCs w:val="24"/>
              </w:rPr>
            </w:pPr>
          </w:p>
        </w:tc>
        <w:tc>
          <w:tcPr>
            <w:tcW w:w="740" w:type="pct"/>
            <w:noWrap w:val="0"/>
            <w:vAlign w:val="center"/>
          </w:tcPr>
          <w:p>
            <w:pPr>
              <w:rPr>
                <w:rFonts w:hint="eastAsia"/>
                <w:sz w:val="24"/>
                <w:szCs w:val="24"/>
              </w:rPr>
            </w:pPr>
            <w:r>
              <w:rPr>
                <w:rFonts w:hint="eastAsia"/>
                <w:sz w:val="24"/>
                <w:szCs w:val="24"/>
              </w:rPr>
              <w:t>供电</w:t>
            </w:r>
          </w:p>
        </w:tc>
        <w:tc>
          <w:tcPr>
            <w:tcW w:w="2634" w:type="pct"/>
            <w:noWrap w:val="0"/>
            <w:vAlign w:val="center"/>
          </w:tcPr>
          <w:p>
            <w:pPr>
              <w:rPr>
                <w:rFonts w:hint="eastAsia"/>
                <w:sz w:val="24"/>
                <w:szCs w:val="24"/>
              </w:rPr>
            </w:pPr>
            <w:r>
              <w:rPr>
                <w:rFonts w:hint="eastAsia"/>
                <w:sz w:val="24"/>
                <w:szCs w:val="24"/>
              </w:rPr>
              <w:t>华云动力厂5所配电室、供电管网</w:t>
            </w:r>
          </w:p>
          <w:p>
            <w:pPr>
              <w:rPr>
                <w:rFonts w:hint="eastAsia"/>
                <w:sz w:val="24"/>
                <w:szCs w:val="24"/>
              </w:rPr>
            </w:pPr>
            <w:r>
              <w:rPr>
                <w:rFonts w:hint="eastAsia"/>
                <w:sz w:val="24"/>
                <w:szCs w:val="24"/>
              </w:rPr>
              <w:t>危害因素：工频电磁场</w:t>
            </w:r>
          </w:p>
        </w:tc>
        <w:tc>
          <w:tcPr>
            <w:tcW w:w="365" w:type="pct"/>
            <w:noWrap w:val="0"/>
            <w:vAlign w:val="center"/>
          </w:tcPr>
          <w:p>
            <w:pPr>
              <w:rPr>
                <w:rFonts w:hint="eastAsia"/>
                <w:w w:val="95"/>
                <w:sz w:val="24"/>
                <w:szCs w:val="24"/>
              </w:rPr>
            </w:pPr>
            <w:r>
              <w:rPr>
                <w:rFonts w:hint="eastAsia"/>
                <w:w w:val="95"/>
                <w:sz w:val="24"/>
                <w:szCs w:val="24"/>
              </w:rPr>
              <w:t>——</w:t>
            </w:r>
          </w:p>
        </w:tc>
        <w:tc>
          <w:tcPr>
            <w:tcW w:w="792" w:type="pct"/>
            <w:noWrap w:val="0"/>
            <w:vAlign w:val="center"/>
          </w:tcPr>
          <w:p>
            <w:pP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467" w:type="pct"/>
            <w:noWrap w:val="0"/>
            <w:vAlign w:val="center"/>
          </w:tcPr>
          <w:p>
            <w:pPr>
              <w:rPr>
                <w:rFonts w:hint="eastAsia"/>
                <w:sz w:val="24"/>
                <w:szCs w:val="24"/>
              </w:rPr>
            </w:pPr>
            <w:r>
              <w:rPr>
                <w:rFonts w:hint="eastAsia"/>
                <w:sz w:val="24"/>
                <w:szCs w:val="24"/>
              </w:rPr>
              <w:t>总图运输</w:t>
            </w:r>
          </w:p>
        </w:tc>
        <w:tc>
          <w:tcPr>
            <w:tcW w:w="740" w:type="pct"/>
            <w:noWrap w:val="0"/>
            <w:vAlign w:val="center"/>
          </w:tcPr>
          <w:p>
            <w:pPr>
              <w:rPr>
                <w:rFonts w:hint="eastAsia"/>
                <w:sz w:val="24"/>
                <w:szCs w:val="24"/>
              </w:rPr>
            </w:pPr>
            <w:r>
              <w:rPr>
                <w:rFonts w:hint="eastAsia"/>
                <w:sz w:val="24"/>
                <w:szCs w:val="24"/>
              </w:rPr>
              <w:t>原辅材料、产品的运输及储存</w:t>
            </w:r>
          </w:p>
        </w:tc>
        <w:tc>
          <w:tcPr>
            <w:tcW w:w="2634" w:type="pct"/>
            <w:noWrap w:val="0"/>
            <w:vAlign w:val="center"/>
          </w:tcPr>
          <w:p>
            <w:pPr>
              <w:rPr>
                <w:rFonts w:hint="eastAsia"/>
                <w:sz w:val="24"/>
                <w:szCs w:val="24"/>
              </w:rPr>
            </w:pPr>
            <w:r>
              <w:rPr>
                <w:rFonts w:hint="eastAsia"/>
                <w:sz w:val="24"/>
                <w:szCs w:val="24"/>
              </w:rPr>
              <w:t>氧化铝仓库、新鲜氧化铝贮槽、铝锭堆场、皮带输送系统</w:t>
            </w:r>
          </w:p>
          <w:p>
            <w:pPr>
              <w:rPr>
                <w:rFonts w:hint="eastAsia"/>
                <w:sz w:val="24"/>
                <w:szCs w:val="24"/>
              </w:rPr>
            </w:pPr>
            <w:r>
              <w:rPr>
                <w:rFonts w:hint="eastAsia"/>
                <w:sz w:val="24"/>
                <w:szCs w:val="24"/>
              </w:rPr>
              <w:t>危害因素：噪声、氧化铝粉尘</w:t>
            </w:r>
          </w:p>
        </w:tc>
        <w:tc>
          <w:tcPr>
            <w:tcW w:w="365" w:type="pct"/>
            <w:noWrap w:val="0"/>
            <w:vAlign w:val="center"/>
          </w:tcPr>
          <w:p>
            <w:pPr>
              <w:rPr>
                <w:rFonts w:hint="eastAsia"/>
                <w:w w:val="95"/>
                <w:sz w:val="24"/>
                <w:szCs w:val="24"/>
              </w:rPr>
            </w:pPr>
            <w:r>
              <w:rPr>
                <w:rFonts w:hint="eastAsia"/>
                <w:w w:val="95"/>
                <w:sz w:val="24"/>
                <w:szCs w:val="24"/>
              </w:rPr>
              <w:t>——</w:t>
            </w:r>
          </w:p>
        </w:tc>
        <w:tc>
          <w:tcPr>
            <w:tcW w:w="792" w:type="pct"/>
            <w:noWrap w:val="0"/>
            <w:vAlign w:val="center"/>
          </w:tcPr>
          <w:p>
            <w:pPr>
              <w:rPr>
                <w:rFonts w:hint="eastAsia"/>
                <w:w w:val="95"/>
                <w:sz w:val="24"/>
                <w:szCs w:val="24"/>
              </w:rPr>
            </w:pPr>
          </w:p>
        </w:tc>
      </w:tr>
    </w:tbl>
    <w:p>
      <w:pPr>
        <w:spacing w:line="490" w:lineRule="exact"/>
        <w:outlineLvl w:val="0"/>
        <w:rPr>
          <w:rFonts w:hint="eastAsia" w:ascii="宋体" w:hAnsi="宋体"/>
          <w:b/>
          <w:bCs/>
          <w:sz w:val="30"/>
          <w:szCs w:val="30"/>
        </w:rPr>
      </w:pPr>
    </w:p>
    <w:p>
      <w:pPr>
        <w:spacing w:line="490" w:lineRule="exact"/>
        <w:outlineLvl w:val="0"/>
        <w:rPr>
          <w:rFonts w:hint="eastAsia" w:ascii="宋体" w:hAnsi="宋体"/>
          <w:b/>
          <w:bCs/>
          <w:sz w:val="30"/>
          <w:szCs w:val="30"/>
        </w:rPr>
      </w:pPr>
    </w:p>
    <w:p>
      <w:pPr>
        <w:spacing w:line="490" w:lineRule="exact"/>
        <w:outlineLvl w:val="0"/>
        <w:rPr>
          <w:rFonts w:hint="eastAsia" w:ascii="宋体" w:hAnsi="宋体"/>
          <w:b/>
          <w:bCs/>
          <w:sz w:val="30"/>
          <w:szCs w:val="30"/>
        </w:rPr>
      </w:pPr>
    </w:p>
    <w:p>
      <w:pPr>
        <w:spacing w:line="490" w:lineRule="exact"/>
        <w:outlineLvl w:val="0"/>
        <w:rPr>
          <w:rFonts w:ascii="宋体" w:hAnsi="宋体"/>
          <w:b/>
          <w:bCs/>
          <w:sz w:val="30"/>
          <w:szCs w:val="30"/>
        </w:rPr>
      </w:pPr>
      <w:r>
        <w:rPr>
          <w:rFonts w:hint="eastAsia" w:ascii="宋体" w:hAnsi="宋体"/>
          <w:b/>
          <w:bCs/>
          <w:sz w:val="30"/>
          <w:szCs w:val="30"/>
        </w:rPr>
        <w:t>3、华云二厂、华云动力厂</w:t>
      </w:r>
    </w:p>
    <w:tbl>
      <w:tblPr>
        <w:tblStyle w:val="54"/>
        <w:tblW w:w="5205" w:type="pct"/>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1"/>
        <w:gridCol w:w="1562"/>
        <w:gridCol w:w="4950"/>
        <w:gridCol w:w="816"/>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blHeader/>
        </w:trPr>
        <w:tc>
          <w:tcPr>
            <w:tcW w:w="448" w:type="pct"/>
            <w:noWrap w:val="0"/>
            <w:vAlign w:val="center"/>
          </w:tcPr>
          <w:p>
            <w:pPr>
              <w:rPr>
                <w:rFonts w:hint="eastAsia"/>
                <w:sz w:val="24"/>
                <w:szCs w:val="24"/>
              </w:rPr>
            </w:pPr>
            <w:r>
              <w:rPr>
                <w:rFonts w:hint="eastAsia"/>
                <w:w w:val="95"/>
                <w:sz w:val="24"/>
                <w:szCs w:val="24"/>
              </w:rPr>
              <w:t>评价单元</w:t>
            </w:r>
          </w:p>
        </w:tc>
        <w:tc>
          <w:tcPr>
            <w:tcW w:w="821" w:type="pct"/>
            <w:noWrap w:val="0"/>
            <w:vAlign w:val="center"/>
          </w:tcPr>
          <w:p>
            <w:pPr>
              <w:rPr>
                <w:rFonts w:hint="eastAsia"/>
                <w:sz w:val="24"/>
                <w:szCs w:val="24"/>
              </w:rPr>
            </w:pPr>
            <w:r>
              <w:rPr>
                <w:rFonts w:hint="eastAsia"/>
                <w:w w:val="95"/>
                <w:sz w:val="24"/>
                <w:szCs w:val="24"/>
              </w:rPr>
              <w:t>评价子单元</w:t>
            </w:r>
          </w:p>
        </w:tc>
        <w:tc>
          <w:tcPr>
            <w:tcW w:w="2602" w:type="pct"/>
            <w:noWrap w:val="0"/>
            <w:vAlign w:val="center"/>
          </w:tcPr>
          <w:p>
            <w:pPr>
              <w:rPr>
                <w:rFonts w:hint="eastAsia"/>
                <w:sz w:val="24"/>
                <w:szCs w:val="24"/>
              </w:rPr>
            </w:pPr>
            <w:r>
              <w:rPr>
                <w:rFonts w:hint="eastAsia"/>
                <w:sz w:val="24"/>
                <w:szCs w:val="24"/>
              </w:rPr>
              <w:t>工序及存在的危害因素</w:t>
            </w:r>
          </w:p>
        </w:tc>
        <w:tc>
          <w:tcPr>
            <w:tcW w:w="429" w:type="pct"/>
            <w:noWrap w:val="0"/>
            <w:vAlign w:val="center"/>
          </w:tcPr>
          <w:p>
            <w:pPr>
              <w:rPr>
                <w:rFonts w:hint="eastAsia"/>
                <w:w w:val="95"/>
                <w:sz w:val="24"/>
                <w:szCs w:val="24"/>
              </w:rPr>
            </w:pPr>
            <w:r>
              <w:rPr>
                <w:rFonts w:hint="eastAsia"/>
                <w:w w:val="95"/>
                <w:sz w:val="24"/>
                <w:szCs w:val="24"/>
              </w:rPr>
              <w:t>备注</w:t>
            </w:r>
          </w:p>
        </w:tc>
        <w:tc>
          <w:tcPr>
            <w:tcW w:w="697" w:type="pct"/>
            <w:noWrap w:val="0"/>
            <w:vAlign w:val="center"/>
          </w:tcPr>
          <w:p>
            <w:pPr>
              <w:rPr>
                <w:rFonts w:hint="eastAsia" w:eastAsia="宋体"/>
                <w:w w:val="95"/>
                <w:sz w:val="24"/>
                <w:szCs w:val="24"/>
                <w:lang w:eastAsia="zh-CN"/>
              </w:rPr>
            </w:pPr>
            <w:r>
              <w:rPr>
                <w:rFonts w:hint="eastAsia"/>
                <w:w w:val="95"/>
                <w:sz w:val="24"/>
                <w:szCs w:val="24"/>
                <w:lang w:eastAsia="zh-CN"/>
              </w:rPr>
              <w:t>检测价格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448" w:type="pct"/>
            <w:vMerge w:val="restart"/>
            <w:noWrap w:val="0"/>
            <w:vAlign w:val="center"/>
          </w:tcPr>
          <w:p>
            <w:pPr>
              <w:rPr>
                <w:rFonts w:hint="eastAsia"/>
                <w:sz w:val="24"/>
                <w:szCs w:val="24"/>
              </w:rPr>
            </w:pPr>
            <w:r>
              <w:rPr>
                <w:rFonts w:hint="eastAsia"/>
                <w:sz w:val="24"/>
                <w:szCs w:val="24"/>
              </w:rPr>
              <w:t>生产单元</w:t>
            </w:r>
          </w:p>
        </w:tc>
        <w:tc>
          <w:tcPr>
            <w:tcW w:w="821" w:type="pct"/>
            <w:noWrap w:val="0"/>
            <w:vAlign w:val="center"/>
          </w:tcPr>
          <w:p>
            <w:pPr>
              <w:rPr>
                <w:rFonts w:hint="eastAsia"/>
                <w:sz w:val="24"/>
                <w:szCs w:val="24"/>
              </w:rPr>
            </w:pPr>
            <w:r>
              <w:rPr>
                <w:rFonts w:hint="eastAsia"/>
                <w:sz w:val="24"/>
                <w:szCs w:val="24"/>
              </w:rPr>
              <w:t>电解铝车间</w:t>
            </w:r>
          </w:p>
        </w:tc>
        <w:tc>
          <w:tcPr>
            <w:tcW w:w="2602" w:type="pct"/>
            <w:noWrap w:val="0"/>
            <w:vAlign w:val="center"/>
          </w:tcPr>
          <w:p>
            <w:pPr>
              <w:rPr>
                <w:rFonts w:hint="eastAsia"/>
                <w:sz w:val="24"/>
                <w:szCs w:val="24"/>
              </w:rPr>
            </w:pPr>
            <w:r>
              <w:rPr>
                <w:rFonts w:hint="eastAsia"/>
                <w:kern w:val="0"/>
                <w:sz w:val="24"/>
                <w:szCs w:val="24"/>
              </w:rPr>
              <w:t>厂房建设及SY400 预焙阳极电解槽264台、</w:t>
            </w:r>
            <w:r>
              <w:rPr>
                <w:rFonts w:hint="eastAsia"/>
                <w:sz w:val="24"/>
                <w:szCs w:val="24"/>
              </w:rPr>
              <w:t>预焙阳极电解槽、电解多功能机组、真空抬包、下料系统等设备</w:t>
            </w:r>
          </w:p>
          <w:p>
            <w:pPr>
              <w:rPr>
                <w:rFonts w:hint="eastAsia"/>
                <w:sz w:val="24"/>
                <w:szCs w:val="24"/>
              </w:rPr>
            </w:pPr>
            <w:r>
              <w:rPr>
                <w:rFonts w:hint="eastAsia"/>
                <w:sz w:val="24"/>
                <w:szCs w:val="24"/>
              </w:rPr>
              <w:t>危害因素：</w:t>
            </w:r>
            <w:r>
              <w:rPr>
                <w:rStyle w:val="90"/>
                <w:rFonts w:hint="eastAsia" w:ascii="宋体" w:hAnsi="宋体"/>
                <w:sz w:val="24"/>
                <w:szCs w:val="24"/>
              </w:rPr>
              <w:t>危害因素：高温、粉尘、噪声、氟化物、</w:t>
            </w:r>
            <w:r>
              <w:rPr>
                <w:rStyle w:val="90"/>
                <w:rFonts w:hint="eastAsia" w:ascii="宋体" w:hAnsi="宋体"/>
                <w:sz w:val="24"/>
                <w:szCs w:val="24"/>
                <w:lang w:eastAsia="zh-CN"/>
              </w:rPr>
              <w:t>二氧化硫、一氧化碳、</w:t>
            </w:r>
            <w:r>
              <w:rPr>
                <w:rStyle w:val="90"/>
                <w:rFonts w:hint="eastAsia" w:ascii="宋体" w:hAnsi="宋体"/>
                <w:sz w:val="24"/>
                <w:szCs w:val="24"/>
              </w:rPr>
              <w:t>电磁场</w:t>
            </w:r>
          </w:p>
        </w:tc>
        <w:tc>
          <w:tcPr>
            <w:tcW w:w="429" w:type="pct"/>
            <w:noWrap w:val="0"/>
            <w:vAlign w:val="center"/>
          </w:tcPr>
          <w:p>
            <w:pPr>
              <w:rPr>
                <w:rFonts w:hint="eastAsia"/>
                <w:w w:val="95"/>
                <w:sz w:val="24"/>
                <w:szCs w:val="24"/>
              </w:rPr>
            </w:pPr>
            <w:r>
              <w:rPr>
                <w:rFonts w:hint="eastAsia"/>
                <w:w w:val="95"/>
                <w:sz w:val="24"/>
                <w:szCs w:val="24"/>
              </w:rPr>
              <w:t>——</w:t>
            </w:r>
          </w:p>
        </w:tc>
        <w:tc>
          <w:tcPr>
            <w:tcW w:w="697" w:type="pct"/>
            <w:noWrap w:val="0"/>
            <w:vAlign w:val="center"/>
          </w:tcPr>
          <w:p>
            <w:pP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448" w:type="pct"/>
            <w:vMerge w:val="continue"/>
            <w:tcBorders>
              <w:top w:val="nil"/>
            </w:tcBorders>
            <w:noWrap w:val="0"/>
            <w:vAlign w:val="center"/>
          </w:tcPr>
          <w:p>
            <w:pPr>
              <w:rPr>
                <w:rFonts w:hint="eastAsia"/>
                <w:sz w:val="24"/>
                <w:szCs w:val="24"/>
              </w:rPr>
            </w:pPr>
          </w:p>
        </w:tc>
        <w:tc>
          <w:tcPr>
            <w:tcW w:w="821" w:type="pct"/>
            <w:noWrap w:val="0"/>
            <w:vAlign w:val="center"/>
          </w:tcPr>
          <w:p>
            <w:pPr>
              <w:rPr>
                <w:rFonts w:hint="eastAsia"/>
                <w:sz w:val="24"/>
                <w:szCs w:val="24"/>
              </w:rPr>
            </w:pPr>
            <w:r>
              <w:rPr>
                <w:rFonts w:hint="eastAsia"/>
                <w:sz w:val="24"/>
                <w:szCs w:val="24"/>
              </w:rPr>
              <w:t>铸造车间</w:t>
            </w:r>
          </w:p>
        </w:tc>
        <w:tc>
          <w:tcPr>
            <w:tcW w:w="2602" w:type="pct"/>
            <w:noWrap w:val="0"/>
            <w:vAlign w:val="center"/>
          </w:tcPr>
          <w:p>
            <w:pPr>
              <w:rPr>
                <w:rFonts w:hint="eastAsia"/>
                <w:sz w:val="24"/>
                <w:szCs w:val="24"/>
              </w:rPr>
            </w:pPr>
            <w:r>
              <w:rPr>
                <w:rFonts w:hint="eastAsia"/>
                <w:sz w:val="24"/>
                <w:szCs w:val="24"/>
              </w:rPr>
              <w:t>厂房的建设及混合炉、铝锭连续铸造机、扒渣车等设备</w:t>
            </w:r>
          </w:p>
          <w:p>
            <w:pPr>
              <w:rPr>
                <w:rFonts w:hint="eastAsia"/>
                <w:sz w:val="24"/>
                <w:szCs w:val="24"/>
              </w:rPr>
            </w:pPr>
            <w:r>
              <w:rPr>
                <w:rFonts w:hint="eastAsia"/>
                <w:sz w:val="24"/>
                <w:szCs w:val="24"/>
              </w:rPr>
              <w:t>危害因素：粉尘、高温、噪声</w:t>
            </w:r>
            <w:r>
              <w:rPr>
                <w:rFonts w:hint="eastAsia"/>
                <w:sz w:val="24"/>
                <w:szCs w:val="24"/>
                <w:lang w:eastAsia="zh-CN"/>
              </w:rPr>
              <w:t>、一氧化碳</w:t>
            </w:r>
          </w:p>
        </w:tc>
        <w:tc>
          <w:tcPr>
            <w:tcW w:w="429" w:type="pct"/>
            <w:noWrap w:val="0"/>
            <w:vAlign w:val="center"/>
          </w:tcPr>
          <w:p>
            <w:pPr>
              <w:rPr>
                <w:rFonts w:hint="eastAsia"/>
                <w:w w:val="95"/>
                <w:sz w:val="24"/>
                <w:szCs w:val="24"/>
              </w:rPr>
            </w:pPr>
            <w:r>
              <w:rPr>
                <w:rFonts w:hint="eastAsia"/>
                <w:w w:val="95"/>
                <w:sz w:val="24"/>
                <w:szCs w:val="24"/>
              </w:rPr>
              <w:t>——</w:t>
            </w:r>
          </w:p>
        </w:tc>
        <w:tc>
          <w:tcPr>
            <w:tcW w:w="697" w:type="pct"/>
            <w:noWrap w:val="0"/>
            <w:vAlign w:val="center"/>
          </w:tcPr>
          <w:p>
            <w:pP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448" w:type="pct"/>
            <w:vMerge w:val="continue"/>
            <w:tcBorders>
              <w:top w:val="nil"/>
            </w:tcBorders>
            <w:noWrap w:val="0"/>
            <w:vAlign w:val="center"/>
          </w:tcPr>
          <w:p>
            <w:pPr>
              <w:rPr>
                <w:rFonts w:hint="eastAsia"/>
                <w:sz w:val="24"/>
                <w:szCs w:val="24"/>
              </w:rPr>
            </w:pPr>
          </w:p>
        </w:tc>
        <w:tc>
          <w:tcPr>
            <w:tcW w:w="821" w:type="pct"/>
            <w:noWrap w:val="0"/>
            <w:vAlign w:val="center"/>
          </w:tcPr>
          <w:p>
            <w:pPr>
              <w:rPr>
                <w:rFonts w:hint="eastAsia"/>
                <w:sz w:val="24"/>
                <w:szCs w:val="24"/>
              </w:rPr>
            </w:pPr>
            <w:r>
              <w:rPr>
                <w:rFonts w:hint="eastAsia"/>
                <w:sz w:val="24"/>
                <w:szCs w:val="24"/>
              </w:rPr>
              <w:t>组装车间</w:t>
            </w:r>
          </w:p>
        </w:tc>
        <w:tc>
          <w:tcPr>
            <w:tcW w:w="2602" w:type="pct"/>
            <w:noWrap w:val="0"/>
            <w:vAlign w:val="center"/>
          </w:tcPr>
          <w:p>
            <w:pPr>
              <w:rPr>
                <w:rFonts w:hint="eastAsia"/>
                <w:sz w:val="24"/>
                <w:szCs w:val="24"/>
              </w:rPr>
            </w:pPr>
            <w:r>
              <w:rPr>
                <w:rFonts w:hint="eastAsia"/>
                <w:sz w:val="24"/>
                <w:szCs w:val="24"/>
              </w:rPr>
              <w:t>厂房的建设及 3t 中频炉、电解质清理机、残极清理滚筒系统、残极压脱机等设备。</w:t>
            </w:r>
          </w:p>
          <w:p>
            <w:pPr>
              <w:rPr>
                <w:rFonts w:hint="eastAsia"/>
                <w:sz w:val="24"/>
                <w:szCs w:val="24"/>
              </w:rPr>
            </w:pPr>
            <w:r>
              <w:rPr>
                <w:rFonts w:hint="eastAsia"/>
                <w:sz w:val="24"/>
                <w:szCs w:val="24"/>
              </w:rPr>
              <w:t>危害因素：噪声、高温、粉尘</w:t>
            </w:r>
          </w:p>
        </w:tc>
        <w:tc>
          <w:tcPr>
            <w:tcW w:w="429" w:type="pct"/>
            <w:noWrap w:val="0"/>
            <w:vAlign w:val="center"/>
          </w:tcPr>
          <w:p>
            <w:pPr>
              <w:rPr>
                <w:rFonts w:hint="eastAsia"/>
                <w:w w:val="95"/>
                <w:sz w:val="24"/>
                <w:szCs w:val="24"/>
              </w:rPr>
            </w:pPr>
            <w:r>
              <w:rPr>
                <w:rFonts w:hint="eastAsia"/>
                <w:w w:val="95"/>
                <w:sz w:val="24"/>
                <w:szCs w:val="24"/>
              </w:rPr>
              <w:t>——</w:t>
            </w:r>
          </w:p>
        </w:tc>
        <w:tc>
          <w:tcPr>
            <w:tcW w:w="697" w:type="pct"/>
            <w:noWrap w:val="0"/>
            <w:vAlign w:val="center"/>
          </w:tcPr>
          <w:p>
            <w:pP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5" w:hRule="atLeast"/>
        </w:trPr>
        <w:tc>
          <w:tcPr>
            <w:tcW w:w="448" w:type="pct"/>
            <w:vMerge w:val="continue"/>
            <w:tcBorders>
              <w:top w:val="nil"/>
            </w:tcBorders>
            <w:noWrap w:val="0"/>
            <w:vAlign w:val="center"/>
          </w:tcPr>
          <w:p>
            <w:pPr>
              <w:rPr>
                <w:rFonts w:hint="eastAsia"/>
                <w:sz w:val="24"/>
                <w:szCs w:val="24"/>
              </w:rPr>
            </w:pPr>
          </w:p>
        </w:tc>
        <w:tc>
          <w:tcPr>
            <w:tcW w:w="821" w:type="pct"/>
            <w:noWrap w:val="0"/>
            <w:vAlign w:val="center"/>
          </w:tcPr>
          <w:p>
            <w:pPr>
              <w:rPr>
                <w:rFonts w:hint="eastAsia"/>
                <w:sz w:val="24"/>
                <w:szCs w:val="24"/>
              </w:rPr>
            </w:pPr>
            <w:r>
              <w:rPr>
                <w:rFonts w:hint="eastAsia"/>
                <w:sz w:val="24"/>
                <w:szCs w:val="24"/>
              </w:rPr>
              <w:t>烟气净化系统</w:t>
            </w:r>
          </w:p>
        </w:tc>
        <w:tc>
          <w:tcPr>
            <w:tcW w:w="2602" w:type="pct"/>
            <w:noWrap w:val="0"/>
            <w:vAlign w:val="center"/>
          </w:tcPr>
          <w:p>
            <w:pPr>
              <w:rPr>
                <w:rFonts w:hint="eastAsia" w:ascii="宋体" w:hAnsi="宋体"/>
                <w:sz w:val="24"/>
                <w:szCs w:val="24"/>
              </w:rPr>
            </w:pPr>
            <w:r>
              <w:rPr>
                <w:rFonts w:hint="eastAsia" w:ascii="宋体" w:hAnsi="宋体"/>
                <w:sz w:val="24"/>
                <w:szCs w:val="24"/>
              </w:rPr>
              <w:t>厂房的建设及新鲜氧化铝仓、载氟氧化铝仓、主排烟风机、脉冲布袋除尘器、提升机、高压离心风机；半干法脱硫系统等设备。</w:t>
            </w:r>
          </w:p>
          <w:p>
            <w:pPr>
              <w:rPr>
                <w:rFonts w:hint="eastAsia" w:ascii="宋体" w:hAnsi="宋体"/>
                <w:sz w:val="24"/>
                <w:szCs w:val="24"/>
              </w:rPr>
            </w:pPr>
            <w:r>
              <w:rPr>
                <w:rFonts w:hint="eastAsia" w:ascii="宋体" w:hAnsi="宋体"/>
                <w:sz w:val="24"/>
                <w:szCs w:val="24"/>
              </w:rPr>
              <w:t>危害因素：氟化物、</w:t>
            </w:r>
            <w:r>
              <w:rPr>
                <w:rFonts w:hint="eastAsia" w:ascii="宋体" w:hAnsi="宋体"/>
                <w:sz w:val="24"/>
                <w:szCs w:val="24"/>
                <w:lang w:eastAsia="zh-CN"/>
              </w:rPr>
              <w:t>二氧化硫、</w:t>
            </w:r>
            <w:r>
              <w:rPr>
                <w:rFonts w:hint="eastAsia" w:ascii="宋体" w:hAnsi="宋体"/>
                <w:sz w:val="24"/>
                <w:szCs w:val="24"/>
              </w:rPr>
              <w:t>粉尘、高温、噪声</w:t>
            </w:r>
            <w:r>
              <w:rPr>
                <w:rFonts w:hint="eastAsia" w:ascii="宋体" w:hAnsi="宋体"/>
                <w:sz w:val="24"/>
                <w:szCs w:val="24"/>
                <w:lang w:eastAsia="zh-CN"/>
              </w:rPr>
              <w:t>、</w:t>
            </w:r>
            <w:r>
              <w:rPr>
                <w:rStyle w:val="90"/>
                <w:rFonts w:hint="eastAsia" w:ascii="宋体" w:hAnsi="宋体"/>
                <w:sz w:val="24"/>
                <w:szCs w:val="24"/>
                <w:lang w:eastAsia="zh-CN"/>
              </w:rPr>
              <w:t>一氧化碳</w:t>
            </w:r>
          </w:p>
        </w:tc>
        <w:tc>
          <w:tcPr>
            <w:tcW w:w="429" w:type="pct"/>
            <w:noWrap w:val="0"/>
            <w:vAlign w:val="center"/>
          </w:tcPr>
          <w:p>
            <w:pPr>
              <w:rPr>
                <w:rFonts w:hint="eastAsia"/>
                <w:w w:val="95"/>
                <w:sz w:val="24"/>
                <w:szCs w:val="24"/>
              </w:rPr>
            </w:pPr>
            <w:r>
              <w:rPr>
                <w:rFonts w:hint="eastAsia"/>
                <w:w w:val="95"/>
                <w:sz w:val="24"/>
                <w:szCs w:val="24"/>
              </w:rPr>
              <w:t>——</w:t>
            </w:r>
          </w:p>
        </w:tc>
        <w:tc>
          <w:tcPr>
            <w:tcW w:w="697" w:type="pct"/>
            <w:noWrap w:val="0"/>
            <w:vAlign w:val="center"/>
          </w:tcPr>
          <w:p>
            <w:pP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448" w:type="pct"/>
            <w:vMerge w:val="restart"/>
            <w:noWrap w:val="0"/>
            <w:vAlign w:val="center"/>
          </w:tcPr>
          <w:p>
            <w:pPr>
              <w:rPr>
                <w:rFonts w:hint="eastAsia"/>
                <w:sz w:val="24"/>
                <w:szCs w:val="24"/>
              </w:rPr>
            </w:pPr>
            <w:r>
              <w:rPr>
                <w:rFonts w:hint="eastAsia"/>
                <w:sz w:val="24"/>
                <w:szCs w:val="24"/>
              </w:rPr>
              <w:t>辅助单元</w:t>
            </w:r>
          </w:p>
        </w:tc>
        <w:tc>
          <w:tcPr>
            <w:tcW w:w="821" w:type="pct"/>
            <w:noWrap w:val="0"/>
            <w:vAlign w:val="center"/>
          </w:tcPr>
          <w:p>
            <w:pPr>
              <w:rPr>
                <w:rFonts w:hint="eastAsia"/>
                <w:sz w:val="24"/>
                <w:szCs w:val="24"/>
              </w:rPr>
            </w:pPr>
            <w:r>
              <w:rPr>
                <w:rFonts w:hint="eastAsia"/>
                <w:sz w:val="24"/>
                <w:szCs w:val="24"/>
              </w:rPr>
              <w:t>冷却循环水系统</w:t>
            </w:r>
          </w:p>
        </w:tc>
        <w:tc>
          <w:tcPr>
            <w:tcW w:w="2602" w:type="pct"/>
            <w:noWrap w:val="0"/>
            <w:vAlign w:val="center"/>
          </w:tcPr>
          <w:p>
            <w:pPr>
              <w:rPr>
                <w:rFonts w:hint="eastAsia" w:ascii="宋体" w:hAnsi="宋体"/>
                <w:sz w:val="24"/>
                <w:szCs w:val="24"/>
              </w:rPr>
            </w:pPr>
            <w:r>
              <w:rPr>
                <w:rFonts w:hint="eastAsia" w:ascii="宋体" w:hAnsi="宋体"/>
                <w:sz w:val="24"/>
                <w:szCs w:val="24"/>
              </w:rPr>
              <w:t>冷却塔、水泵、管网等</w:t>
            </w:r>
          </w:p>
          <w:p>
            <w:pPr>
              <w:rPr>
                <w:rFonts w:hint="eastAsia" w:ascii="宋体" w:hAnsi="宋体"/>
                <w:sz w:val="24"/>
                <w:szCs w:val="24"/>
              </w:rPr>
            </w:pPr>
            <w:r>
              <w:rPr>
                <w:rFonts w:hint="eastAsia" w:ascii="宋体" w:hAnsi="宋体"/>
                <w:sz w:val="24"/>
                <w:szCs w:val="24"/>
              </w:rPr>
              <w:t>危害因素：噪声</w:t>
            </w:r>
          </w:p>
        </w:tc>
        <w:tc>
          <w:tcPr>
            <w:tcW w:w="429" w:type="pct"/>
            <w:noWrap w:val="0"/>
            <w:vAlign w:val="center"/>
          </w:tcPr>
          <w:p>
            <w:pPr>
              <w:rPr>
                <w:rFonts w:hint="eastAsia"/>
                <w:w w:val="95"/>
              </w:rPr>
            </w:pPr>
          </w:p>
        </w:tc>
        <w:tc>
          <w:tcPr>
            <w:tcW w:w="697" w:type="pct"/>
            <w:noWrap w:val="0"/>
            <w:vAlign w:val="center"/>
          </w:tcPr>
          <w:p>
            <w:pPr>
              <w:rPr>
                <w:rFonts w:hint="eastAsia"/>
                <w:w w:val="9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448" w:type="pct"/>
            <w:vMerge w:val="continue"/>
            <w:noWrap w:val="0"/>
            <w:vAlign w:val="center"/>
          </w:tcPr>
          <w:p>
            <w:pPr>
              <w:rPr>
                <w:rFonts w:hint="eastAsia"/>
                <w:sz w:val="24"/>
                <w:szCs w:val="24"/>
              </w:rPr>
            </w:pPr>
          </w:p>
        </w:tc>
        <w:tc>
          <w:tcPr>
            <w:tcW w:w="821" w:type="pct"/>
            <w:noWrap w:val="0"/>
            <w:vAlign w:val="center"/>
          </w:tcPr>
          <w:p>
            <w:pPr>
              <w:rPr>
                <w:rFonts w:hint="eastAsia"/>
                <w:sz w:val="24"/>
                <w:szCs w:val="24"/>
              </w:rPr>
            </w:pPr>
            <w:r>
              <w:rPr>
                <w:rFonts w:hint="eastAsia"/>
                <w:sz w:val="24"/>
                <w:szCs w:val="24"/>
              </w:rPr>
              <w:t>空压站</w:t>
            </w:r>
          </w:p>
        </w:tc>
        <w:tc>
          <w:tcPr>
            <w:tcW w:w="2602" w:type="pct"/>
            <w:noWrap w:val="0"/>
            <w:vAlign w:val="center"/>
          </w:tcPr>
          <w:p>
            <w:pPr>
              <w:rPr>
                <w:rFonts w:hint="eastAsia" w:ascii="宋体" w:hAnsi="宋体"/>
                <w:sz w:val="24"/>
                <w:szCs w:val="24"/>
              </w:rPr>
            </w:pPr>
            <w:r>
              <w:rPr>
                <w:rFonts w:hint="eastAsia" w:ascii="宋体" w:hAnsi="宋体"/>
                <w:sz w:val="24"/>
                <w:szCs w:val="24"/>
              </w:rPr>
              <w:t>空压机、储气罐</w:t>
            </w:r>
          </w:p>
          <w:p>
            <w:pPr>
              <w:rPr>
                <w:rFonts w:hint="eastAsia" w:ascii="宋体" w:hAnsi="宋体"/>
                <w:sz w:val="24"/>
                <w:szCs w:val="24"/>
              </w:rPr>
            </w:pPr>
            <w:r>
              <w:rPr>
                <w:rFonts w:hint="eastAsia" w:ascii="宋体" w:hAnsi="宋体"/>
                <w:sz w:val="24"/>
                <w:szCs w:val="24"/>
              </w:rPr>
              <w:t>危害因素：噪声</w:t>
            </w:r>
          </w:p>
        </w:tc>
        <w:tc>
          <w:tcPr>
            <w:tcW w:w="429" w:type="pct"/>
            <w:noWrap w:val="0"/>
            <w:vAlign w:val="center"/>
          </w:tcPr>
          <w:p>
            <w:pPr>
              <w:rPr>
                <w:rFonts w:hint="eastAsia"/>
                <w:w w:val="95"/>
                <w:sz w:val="24"/>
                <w:szCs w:val="24"/>
              </w:rPr>
            </w:pPr>
          </w:p>
        </w:tc>
        <w:tc>
          <w:tcPr>
            <w:tcW w:w="697" w:type="pct"/>
            <w:noWrap w:val="0"/>
            <w:vAlign w:val="center"/>
          </w:tcPr>
          <w:p>
            <w:pP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48" w:type="pct"/>
            <w:vMerge w:val="continue"/>
            <w:noWrap w:val="0"/>
            <w:vAlign w:val="center"/>
          </w:tcPr>
          <w:p>
            <w:pPr>
              <w:rPr>
                <w:rFonts w:hint="eastAsia"/>
                <w:sz w:val="24"/>
                <w:szCs w:val="24"/>
              </w:rPr>
            </w:pPr>
          </w:p>
        </w:tc>
        <w:tc>
          <w:tcPr>
            <w:tcW w:w="821" w:type="pct"/>
            <w:noWrap w:val="0"/>
            <w:vAlign w:val="center"/>
          </w:tcPr>
          <w:p>
            <w:pPr>
              <w:rPr>
                <w:rFonts w:hint="eastAsia"/>
                <w:sz w:val="24"/>
                <w:szCs w:val="24"/>
              </w:rPr>
            </w:pPr>
            <w:r>
              <w:rPr>
                <w:rFonts w:hint="eastAsia"/>
                <w:kern w:val="0"/>
                <w:sz w:val="24"/>
                <w:szCs w:val="24"/>
              </w:rPr>
              <w:t>清包车间</w:t>
            </w:r>
          </w:p>
        </w:tc>
        <w:tc>
          <w:tcPr>
            <w:tcW w:w="2602" w:type="pct"/>
            <w:noWrap w:val="0"/>
            <w:vAlign w:val="center"/>
          </w:tcPr>
          <w:p>
            <w:pPr>
              <w:rPr>
                <w:rFonts w:hint="eastAsia" w:ascii="宋体" w:hAnsi="宋体"/>
                <w:kern w:val="0"/>
                <w:sz w:val="24"/>
                <w:szCs w:val="24"/>
              </w:rPr>
            </w:pPr>
            <w:r>
              <w:rPr>
                <w:rFonts w:hint="eastAsia" w:ascii="宋体" w:hAnsi="宋体"/>
                <w:kern w:val="0"/>
                <w:sz w:val="24"/>
                <w:szCs w:val="24"/>
              </w:rPr>
              <w:t>厂房建设及抬包清理机、切砖机、风镐、吸铝管清理机等设备的安装</w:t>
            </w:r>
          </w:p>
          <w:p>
            <w:pPr>
              <w:rPr>
                <w:rFonts w:hint="eastAsia" w:ascii="宋体" w:hAnsi="宋体"/>
                <w:sz w:val="24"/>
                <w:szCs w:val="24"/>
              </w:rPr>
            </w:pPr>
            <w:r>
              <w:rPr>
                <w:rFonts w:hint="eastAsia" w:ascii="宋体" w:hAnsi="宋体"/>
                <w:kern w:val="0"/>
                <w:sz w:val="24"/>
                <w:szCs w:val="24"/>
              </w:rPr>
              <w:t>危害因素：粉尘、噪声、手传振动。</w:t>
            </w:r>
          </w:p>
        </w:tc>
        <w:tc>
          <w:tcPr>
            <w:tcW w:w="429" w:type="pct"/>
            <w:noWrap w:val="0"/>
            <w:vAlign w:val="center"/>
          </w:tcPr>
          <w:p>
            <w:pPr>
              <w:jc w:val="center"/>
              <w:rPr>
                <w:rFonts w:hint="eastAsia"/>
                <w:w w:val="95"/>
                <w:sz w:val="24"/>
                <w:szCs w:val="24"/>
              </w:rPr>
            </w:pPr>
          </w:p>
        </w:tc>
        <w:tc>
          <w:tcPr>
            <w:tcW w:w="697" w:type="pct"/>
            <w:noWrap w:val="0"/>
            <w:vAlign w:val="center"/>
          </w:tcPr>
          <w:p>
            <w:pPr>
              <w:jc w:val="cente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48" w:type="pct"/>
            <w:vMerge w:val="continue"/>
            <w:noWrap w:val="0"/>
            <w:vAlign w:val="center"/>
          </w:tcPr>
          <w:p>
            <w:pPr>
              <w:rPr>
                <w:rFonts w:hint="eastAsia"/>
                <w:sz w:val="24"/>
                <w:szCs w:val="24"/>
              </w:rPr>
            </w:pPr>
          </w:p>
        </w:tc>
        <w:tc>
          <w:tcPr>
            <w:tcW w:w="821" w:type="pct"/>
            <w:noWrap w:val="0"/>
            <w:vAlign w:val="center"/>
          </w:tcPr>
          <w:p>
            <w:pPr>
              <w:rPr>
                <w:rFonts w:hint="eastAsia"/>
                <w:sz w:val="24"/>
                <w:szCs w:val="24"/>
              </w:rPr>
            </w:pPr>
            <w:r>
              <w:rPr>
                <w:rFonts w:hint="eastAsia"/>
                <w:sz w:val="24"/>
                <w:szCs w:val="24"/>
              </w:rPr>
              <w:t>检维修</w:t>
            </w:r>
          </w:p>
        </w:tc>
        <w:tc>
          <w:tcPr>
            <w:tcW w:w="2602" w:type="pct"/>
            <w:noWrap w:val="0"/>
            <w:vAlign w:val="center"/>
          </w:tcPr>
          <w:p>
            <w:pPr>
              <w:rPr>
                <w:rFonts w:hint="eastAsia" w:ascii="宋体" w:hAnsi="宋体"/>
                <w:sz w:val="24"/>
                <w:szCs w:val="24"/>
              </w:rPr>
            </w:pPr>
            <w:r>
              <w:rPr>
                <w:rFonts w:hint="eastAsia" w:ascii="宋体" w:hAnsi="宋体"/>
                <w:sz w:val="24"/>
                <w:szCs w:val="24"/>
              </w:rPr>
              <w:t>厂区各车间设备日常维护和检修</w:t>
            </w:r>
          </w:p>
          <w:p>
            <w:pPr>
              <w:rPr>
                <w:rFonts w:hint="eastAsia" w:ascii="宋体" w:hAnsi="宋体"/>
                <w:sz w:val="24"/>
                <w:szCs w:val="24"/>
              </w:rPr>
            </w:pPr>
            <w:r>
              <w:rPr>
                <w:rFonts w:hint="eastAsia" w:ascii="宋体" w:hAnsi="宋体"/>
                <w:sz w:val="24"/>
                <w:szCs w:val="24"/>
              </w:rPr>
              <w:t>危害因素：电焊烟尘、锰及其化合物、紫外辐射</w:t>
            </w:r>
          </w:p>
        </w:tc>
        <w:tc>
          <w:tcPr>
            <w:tcW w:w="429" w:type="pct"/>
            <w:noWrap w:val="0"/>
            <w:vAlign w:val="center"/>
          </w:tcPr>
          <w:p>
            <w:pPr>
              <w:jc w:val="center"/>
              <w:rPr>
                <w:rFonts w:hint="eastAsia"/>
                <w:w w:val="95"/>
                <w:sz w:val="24"/>
                <w:szCs w:val="24"/>
              </w:rPr>
            </w:pPr>
            <w:r>
              <w:rPr>
                <w:rFonts w:hint="eastAsia"/>
                <w:w w:val="95"/>
                <w:sz w:val="24"/>
                <w:szCs w:val="24"/>
              </w:rPr>
              <w:t>——</w:t>
            </w:r>
          </w:p>
        </w:tc>
        <w:tc>
          <w:tcPr>
            <w:tcW w:w="697" w:type="pct"/>
            <w:noWrap w:val="0"/>
            <w:vAlign w:val="center"/>
          </w:tcPr>
          <w:p>
            <w:pPr>
              <w:jc w:val="cente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48" w:type="pct"/>
            <w:vMerge w:val="continue"/>
            <w:noWrap w:val="0"/>
            <w:vAlign w:val="center"/>
          </w:tcPr>
          <w:p>
            <w:pPr>
              <w:rPr>
                <w:rFonts w:hint="eastAsia"/>
                <w:sz w:val="24"/>
                <w:szCs w:val="24"/>
              </w:rPr>
            </w:pPr>
          </w:p>
        </w:tc>
        <w:tc>
          <w:tcPr>
            <w:tcW w:w="821" w:type="pct"/>
            <w:noWrap w:val="0"/>
            <w:vAlign w:val="center"/>
          </w:tcPr>
          <w:p>
            <w:pPr>
              <w:rPr>
                <w:rFonts w:hint="eastAsia"/>
                <w:sz w:val="24"/>
                <w:szCs w:val="24"/>
              </w:rPr>
            </w:pPr>
            <w:r>
              <w:rPr>
                <w:rFonts w:hint="eastAsia"/>
                <w:sz w:val="24"/>
                <w:szCs w:val="24"/>
              </w:rPr>
              <w:t>视屏监控系统</w:t>
            </w:r>
          </w:p>
        </w:tc>
        <w:tc>
          <w:tcPr>
            <w:tcW w:w="2602" w:type="pct"/>
            <w:noWrap w:val="0"/>
            <w:vAlign w:val="center"/>
          </w:tcPr>
          <w:p>
            <w:pPr>
              <w:rPr>
                <w:rFonts w:hint="eastAsia" w:ascii="宋体" w:hAnsi="宋体"/>
                <w:sz w:val="24"/>
                <w:szCs w:val="24"/>
              </w:rPr>
            </w:pPr>
            <w:r>
              <w:rPr>
                <w:rFonts w:hint="eastAsia" w:ascii="宋体" w:hAnsi="宋体"/>
                <w:sz w:val="24"/>
                <w:szCs w:val="24"/>
              </w:rPr>
              <w:t>在电解烟气净化脱硫系统设置视频监控系统</w:t>
            </w:r>
          </w:p>
        </w:tc>
        <w:tc>
          <w:tcPr>
            <w:tcW w:w="429" w:type="pct"/>
            <w:noWrap w:val="0"/>
            <w:vAlign w:val="center"/>
          </w:tcPr>
          <w:p>
            <w:pPr>
              <w:jc w:val="center"/>
              <w:rPr>
                <w:rFonts w:hint="eastAsia"/>
                <w:w w:val="95"/>
                <w:sz w:val="24"/>
                <w:szCs w:val="24"/>
              </w:rPr>
            </w:pPr>
          </w:p>
        </w:tc>
        <w:tc>
          <w:tcPr>
            <w:tcW w:w="697" w:type="pct"/>
            <w:noWrap w:val="0"/>
            <w:vAlign w:val="center"/>
          </w:tcPr>
          <w:p>
            <w:pPr>
              <w:jc w:val="cente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448" w:type="pct"/>
            <w:vMerge w:val="restart"/>
            <w:noWrap w:val="0"/>
            <w:vAlign w:val="center"/>
          </w:tcPr>
          <w:p>
            <w:pPr>
              <w:rPr>
                <w:rFonts w:hint="eastAsia"/>
                <w:sz w:val="24"/>
                <w:szCs w:val="24"/>
              </w:rPr>
            </w:pPr>
            <w:r>
              <w:rPr>
                <w:rFonts w:hint="eastAsia"/>
                <w:sz w:val="24"/>
                <w:szCs w:val="24"/>
              </w:rPr>
              <w:t>公用单元</w:t>
            </w:r>
          </w:p>
        </w:tc>
        <w:tc>
          <w:tcPr>
            <w:tcW w:w="821" w:type="pct"/>
            <w:noWrap w:val="0"/>
            <w:vAlign w:val="center"/>
          </w:tcPr>
          <w:p>
            <w:pPr>
              <w:rPr>
                <w:rFonts w:hint="eastAsia"/>
                <w:sz w:val="24"/>
                <w:szCs w:val="24"/>
              </w:rPr>
            </w:pPr>
            <w:r>
              <w:rPr>
                <w:rFonts w:hint="eastAsia"/>
                <w:sz w:val="24"/>
                <w:szCs w:val="24"/>
              </w:rPr>
              <w:t>给水</w:t>
            </w:r>
          </w:p>
        </w:tc>
        <w:tc>
          <w:tcPr>
            <w:tcW w:w="2602" w:type="pct"/>
            <w:noWrap w:val="0"/>
            <w:vAlign w:val="center"/>
          </w:tcPr>
          <w:p>
            <w:pPr>
              <w:rPr>
                <w:rFonts w:hint="eastAsia" w:ascii="宋体" w:hAnsi="宋体" w:eastAsia="宋体"/>
                <w:sz w:val="24"/>
                <w:szCs w:val="24"/>
                <w:lang w:eastAsia="zh-CN"/>
              </w:rPr>
            </w:pPr>
            <w:r>
              <w:rPr>
                <w:rFonts w:hint="eastAsia" w:ascii="宋体" w:hAnsi="宋体"/>
                <w:sz w:val="24"/>
                <w:szCs w:val="24"/>
                <w:lang w:eastAsia="zh-CN"/>
              </w:rPr>
              <w:t>自来水</w:t>
            </w:r>
            <w:r>
              <w:rPr>
                <w:rFonts w:hint="eastAsia" w:ascii="宋体" w:hAnsi="宋体"/>
                <w:sz w:val="24"/>
                <w:szCs w:val="24"/>
              </w:rPr>
              <w:t>给水管网</w:t>
            </w:r>
            <w:r>
              <w:rPr>
                <w:rFonts w:hint="eastAsia" w:ascii="宋体" w:hAnsi="宋体"/>
                <w:sz w:val="24"/>
                <w:szCs w:val="24"/>
                <w:lang w:eastAsia="zh-CN"/>
              </w:rPr>
              <w:t>供水</w:t>
            </w:r>
          </w:p>
        </w:tc>
        <w:tc>
          <w:tcPr>
            <w:tcW w:w="429" w:type="pct"/>
            <w:noWrap w:val="0"/>
            <w:vAlign w:val="center"/>
          </w:tcPr>
          <w:p>
            <w:pPr>
              <w:jc w:val="center"/>
              <w:rPr>
                <w:rFonts w:hint="eastAsia"/>
                <w:w w:val="95"/>
                <w:sz w:val="24"/>
                <w:szCs w:val="24"/>
              </w:rPr>
            </w:pPr>
          </w:p>
        </w:tc>
        <w:tc>
          <w:tcPr>
            <w:tcW w:w="697" w:type="pct"/>
            <w:noWrap w:val="0"/>
            <w:vAlign w:val="center"/>
          </w:tcPr>
          <w:p>
            <w:pPr>
              <w:jc w:val="center"/>
              <w:rPr>
                <w:rFonts w:hint="eastAsia" w:eastAsia="宋体"/>
                <w:w w:val="95"/>
                <w:sz w:val="24"/>
                <w:szCs w:val="24"/>
                <w:lang w:eastAsia="zh-CN"/>
              </w:rPr>
            </w:pPr>
            <w:r>
              <w:rPr>
                <w:rFonts w:hint="eastAsia"/>
                <w:w w:val="95"/>
                <w:sz w:val="24"/>
                <w:szCs w:val="24"/>
                <w:lang w:eastAsia="zh-CN"/>
              </w:rPr>
              <w:t>不测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48" w:type="pct"/>
            <w:vMerge w:val="continue"/>
            <w:noWrap w:val="0"/>
            <w:vAlign w:val="center"/>
          </w:tcPr>
          <w:p>
            <w:pPr>
              <w:rPr>
                <w:rFonts w:hint="eastAsia"/>
                <w:sz w:val="24"/>
                <w:szCs w:val="24"/>
              </w:rPr>
            </w:pPr>
          </w:p>
        </w:tc>
        <w:tc>
          <w:tcPr>
            <w:tcW w:w="821" w:type="pct"/>
            <w:noWrap w:val="0"/>
            <w:vAlign w:val="center"/>
          </w:tcPr>
          <w:p>
            <w:pPr>
              <w:rPr>
                <w:rFonts w:hint="eastAsia"/>
                <w:sz w:val="24"/>
                <w:szCs w:val="24"/>
              </w:rPr>
            </w:pPr>
            <w:r>
              <w:rPr>
                <w:rFonts w:hint="eastAsia"/>
                <w:sz w:val="24"/>
                <w:szCs w:val="24"/>
              </w:rPr>
              <w:t>排水</w:t>
            </w:r>
          </w:p>
        </w:tc>
        <w:tc>
          <w:tcPr>
            <w:tcW w:w="2602" w:type="pct"/>
            <w:noWrap w:val="0"/>
            <w:vAlign w:val="center"/>
          </w:tcPr>
          <w:p>
            <w:pPr>
              <w:rPr>
                <w:rFonts w:hint="eastAsia" w:ascii="宋体" w:hAnsi="宋体" w:eastAsia="宋体"/>
                <w:sz w:val="24"/>
                <w:szCs w:val="24"/>
                <w:lang w:eastAsia="zh-CN"/>
              </w:rPr>
            </w:pPr>
            <w:r>
              <w:rPr>
                <w:rFonts w:hint="eastAsia" w:ascii="宋体" w:hAnsi="宋体"/>
                <w:sz w:val="24"/>
                <w:szCs w:val="24"/>
              </w:rPr>
              <w:t>污水排入炭素厂厂区污水处理站处理</w:t>
            </w:r>
            <w:r>
              <w:rPr>
                <w:rFonts w:hint="eastAsia" w:ascii="宋体" w:hAnsi="宋体"/>
                <w:sz w:val="24"/>
                <w:szCs w:val="24"/>
                <w:lang w:eastAsia="zh-CN"/>
              </w:rPr>
              <w:t>后回用</w:t>
            </w:r>
          </w:p>
        </w:tc>
        <w:tc>
          <w:tcPr>
            <w:tcW w:w="429" w:type="pct"/>
            <w:noWrap w:val="0"/>
            <w:vAlign w:val="center"/>
          </w:tcPr>
          <w:p>
            <w:pPr>
              <w:jc w:val="center"/>
              <w:rPr>
                <w:rFonts w:hint="eastAsia"/>
                <w:w w:val="95"/>
                <w:sz w:val="24"/>
                <w:szCs w:val="24"/>
              </w:rPr>
            </w:pPr>
          </w:p>
        </w:tc>
        <w:tc>
          <w:tcPr>
            <w:tcW w:w="697" w:type="pct"/>
            <w:noWrap w:val="0"/>
            <w:vAlign w:val="center"/>
          </w:tcPr>
          <w:p>
            <w:pPr>
              <w:jc w:val="center"/>
              <w:rPr>
                <w:rFonts w:hint="eastAsia" w:eastAsia="宋体"/>
                <w:w w:val="95"/>
                <w:sz w:val="24"/>
                <w:szCs w:val="24"/>
                <w:lang w:eastAsia="zh-CN"/>
              </w:rPr>
            </w:pPr>
            <w:r>
              <w:rPr>
                <w:rFonts w:hint="eastAsia"/>
                <w:w w:val="95"/>
                <w:sz w:val="24"/>
                <w:szCs w:val="24"/>
                <w:lang w:eastAsia="zh-CN"/>
              </w:rPr>
              <w:t>不测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48" w:type="pct"/>
            <w:vMerge w:val="continue"/>
            <w:noWrap w:val="0"/>
            <w:vAlign w:val="center"/>
          </w:tcPr>
          <w:p>
            <w:pPr>
              <w:rPr>
                <w:rFonts w:hint="eastAsia"/>
                <w:sz w:val="24"/>
                <w:szCs w:val="24"/>
              </w:rPr>
            </w:pPr>
          </w:p>
        </w:tc>
        <w:tc>
          <w:tcPr>
            <w:tcW w:w="821" w:type="pct"/>
            <w:noWrap w:val="0"/>
            <w:vAlign w:val="center"/>
          </w:tcPr>
          <w:p>
            <w:pPr>
              <w:rPr>
                <w:rFonts w:hint="eastAsia"/>
                <w:sz w:val="24"/>
                <w:szCs w:val="24"/>
              </w:rPr>
            </w:pPr>
            <w:r>
              <w:rPr>
                <w:rFonts w:hint="eastAsia"/>
                <w:sz w:val="24"/>
                <w:szCs w:val="24"/>
              </w:rPr>
              <w:t>供电</w:t>
            </w:r>
          </w:p>
        </w:tc>
        <w:tc>
          <w:tcPr>
            <w:tcW w:w="2602" w:type="pct"/>
            <w:noWrap w:val="0"/>
            <w:vAlign w:val="center"/>
          </w:tcPr>
          <w:p>
            <w:pPr>
              <w:rPr>
                <w:rFonts w:hint="eastAsia" w:ascii="宋体" w:hAnsi="宋体"/>
                <w:kern w:val="0"/>
                <w:sz w:val="24"/>
                <w:szCs w:val="24"/>
              </w:rPr>
            </w:pPr>
            <w:r>
              <w:rPr>
                <w:rFonts w:hint="eastAsia" w:ascii="宋体" w:hAnsi="宋体"/>
                <w:kern w:val="0"/>
                <w:sz w:val="24"/>
                <w:szCs w:val="24"/>
              </w:rPr>
              <w:t>华云动力厂6所220kV 配电装置采用户外 HGIS 配置。主接线系统采用双母线带母联接线系统。</w:t>
            </w:r>
          </w:p>
          <w:p>
            <w:pPr>
              <w:rPr>
                <w:rFonts w:hint="eastAsia" w:ascii="宋体" w:hAnsi="宋体"/>
                <w:sz w:val="24"/>
                <w:szCs w:val="24"/>
              </w:rPr>
            </w:pPr>
            <w:r>
              <w:rPr>
                <w:rFonts w:hint="eastAsia" w:ascii="宋体" w:hAnsi="宋体"/>
                <w:kern w:val="0"/>
                <w:sz w:val="24"/>
                <w:szCs w:val="24"/>
              </w:rPr>
              <w:t>危害因素：工频电场</w:t>
            </w:r>
          </w:p>
        </w:tc>
        <w:tc>
          <w:tcPr>
            <w:tcW w:w="429" w:type="pct"/>
            <w:noWrap w:val="0"/>
            <w:vAlign w:val="center"/>
          </w:tcPr>
          <w:p>
            <w:pPr>
              <w:rPr>
                <w:rFonts w:hint="eastAsia"/>
                <w:w w:val="95"/>
                <w:sz w:val="24"/>
                <w:szCs w:val="24"/>
              </w:rPr>
            </w:pPr>
            <w:r>
              <w:rPr>
                <w:rFonts w:hint="eastAsia"/>
                <w:w w:val="95"/>
                <w:sz w:val="24"/>
                <w:szCs w:val="24"/>
              </w:rPr>
              <w:t>——</w:t>
            </w:r>
          </w:p>
        </w:tc>
        <w:tc>
          <w:tcPr>
            <w:tcW w:w="697" w:type="pct"/>
            <w:noWrap w:val="0"/>
            <w:vAlign w:val="center"/>
          </w:tcPr>
          <w:p>
            <w:pPr>
              <w:rPr>
                <w:rFonts w:hint="eastAsia"/>
                <w:w w:val="95"/>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48" w:type="pct"/>
            <w:noWrap w:val="0"/>
            <w:vAlign w:val="center"/>
          </w:tcPr>
          <w:p>
            <w:pPr>
              <w:rPr>
                <w:rFonts w:hint="eastAsia"/>
                <w:sz w:val="24"/>
                <w:szCs w:val="24"/>
              </w:rPr>
            </w:pPr>
            <w:r>
              <w:rPr>
                <w:rFonts w:hint="eastAsia"/>
                <w:sz w:val="24"/>
                <w:szCs w:val="24"/>
              </w:rPr>
              <w:t>总图运输</w:t>
            </w:r>
          </w:p>
        </w:tc>
        <w:tc>
          <w:tcPr>
            <w:tcW w:w="821" w:type="pct"/>
            <w:noWrap w:val="0"/>
            <w:vAlign w:val="center"/>
          </w:tcPr>
          <w:p>
            <w:pPr>
              <w:rPr>
                <w:rFonts w:hint="eastAsia"/>
                <w:sz w:val="24"/>
                <w:szCs w:val="24"/>
              </w:rPr>
            </w:pPr>
            <w:r>
              <w:rPr>
                <w:rFonts w:hint="eastAsia"/>
                <w:sz w:val="24"/>
                <w:szCs w:val="24"/>
              </w:rPr>
              <w:t>原辅材料、产品的运输及储存</w:t>
            </w:r>
          </w:p>
        </w:tc>
        <w:tc>
          <w:tcPr>
            <w:tcW w:w="2602" w:type="pct"/>
            <w:noWrap w:val="0"/>
            <w:vAlign w:val="center"/>
          </w:tcPr>
          <w:p>
            <w:pPr>
              <w:rPr>
                <w:rFonts w:hint="eastAsia"/>
                <w:sz w:val="24"/>
                <w:szCs w:val="24"/>
              </w:rPr>
            </w:pPr>
            <w:r>
              <w:rPr>
                <w:rFonts w:hint="eastAsia"/>
                <w:sz w:val="24"/>
                <w:szCs w:val="24"/>
              </w:rPr>
              <w:t>氧化铝仓库、新鲜氧化铝贮槽、铝锭堆场、皮带输送系统</w:t>
            </w:r>
          </w:p>
          <w:p>
            <w:pPr>
              <w:rPr>
                <w:rFonts w:hint="eastAsia"/>
                <w:sz w:val="24"/>
                <w:szCs w:val="24"/>
              </w:rPr>
            </w:pPr>
            <w:r>
              <w:rPr>
                <w:rFonts w:hint="eastAsia"/>
                <w:sz w:val="24"/>
                <w:szCs w:val="24"/>
              </w:rPr>
              <w:t>危害因素：噪声、氧化铝粉尘</w:t>
            </w:r>
          </w:p>
        </w:tc>
        <w:tc>
          <w:tcPr>
            <w:tcW w:w="429" w:type="pct"/>
            <w:noWrap w:val="0"/>
            <w:vAlign w:val="center"/>
          </w:tcPr>
          <w:p>
            <w:pPr>
              <w:rPr>
                <w:rFonts w:hint="eastAsia"/>
                <w:w w:val="95"/>
                <w:sz w:val="24"/>
                <w:szCs w:val="24"/>
              </w:rPr>
            </w:pPr>
            <w:r>
              <w:rPr>
                <w:rFonts w:hint="eastAsia"/>
                <w:w w:val="95"/>
                <w:sz w:val="24"/>
                <w:szCs w:val="24"/>
              </w:rPr>
              <w:t>——</w:t>
            </w:r>
          </w:p>
        </w:tc>
        <w:tc>
          <w:tcPr>
            <w:tcW w:w="697" w:type="pct"/>
            <w:noWrap w:val="0"/>
            <w:vAlign w:val="center"/>
          </w:tcPr>
          <w:p>
            <w:pPr>
              <w:rPr>
                <w:rFonts w:hint="eastAsia"/>
                <w:w w:val="95"/>
                <w:sz w:val="24"/>
                <w:szCs w:val="24"/>
              </w:rPr>
            </w:pPr>
          </w:p>
        </w:tc>
      </w:tr>
    </w:tbl>
    <w:p>
      <w:pPr>
        <w:rPr>
          <w:rFonts w:hint="eastAsia" w:ascii="宋体" w:hAnsi="宋体"/>
          <w:b/>
          <w:sz w:val="30"/>
          <w:szCs w:val="30"/>
        </w:rPr>
      </w:pPr>
      <w:r>
        <w:rPr>
          <w:rFonts w:hint="eastAsia" w:ascii="宋体" w:hAnsi="宋体"/>
          <w:b/>
          <w:sz w:val="30"/>
          <w:szCs w:val="30"/>
        </w:rPr>
        <w:t>4、华云质检中心</w:t>
      </w:r>
    </w:p>
    <w:tbl>
      <w:tblPr>
        <w:tblStyle w:val="54"/>
        <w:tblW w:w="9608"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53"/>
        <w:gridCol w:w="1173"/>
        <w:gridCol w:w="753"/>
        <w:gridCol w:w="1210"/>
        <w:gridCol w:w="1407"/>
        <w:gridCol w:w="1358"/>
        <w:gridCol w:w="926"/>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608" w:type="dxa"/>
            <w:gridSpan w:val="9"/>
            <w:noWrap w:val="0"/>
            <w:vAlign w:val="center"/>
          </w:tcPr>
          <w:p>
            <w:pPr>
              <w:rPr>
                <w:rFonts w:hint="eastAsia"/>
                <w:bCs/>
                <w:sz w:val="24"/>
                <w:szCs w:val="24"/>
              </w:rPr>
            </w:pPr>
            <w:r>
              <w:rPr>
                <w:rFonts w:hint="eastAsia"/>
                <w:bCs/>
                <w:sz w:val="24"/>
                <w:szCs w:val="24"/>
              </w:rPr>
              <w:t>华云质检中心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04" w:type="dxa"/>
            <w:noWrap w:val="0"/>
            <w:vAlign w:val="center"/>
          </w:tcPr>
          <w:p>
            <w:pPr>
              <w:rPr>
                <w:rFonts w:hint="eastAsia"/>
                <w:bCs/>
                <w:sz w:val="24"/>
                <w:szCs w:val="24"/>
              </w:rPr>
            </w:pPr>
            <w:r>
              <w:rPr>
                <w:rFonts w:hint="eastAsia"/>
                <w:bCs/>
                <w:sz w:val="24"/>
                <w:szCs w:val="24"/>
              </w:rPr>
              <w:t>序号</w:t>
            </w:r>
          </w:p>
        </w:tc>
        <w:tc>
          <w:tcPr>
            <w:tcW w:w="753" w:type="dxa"/>
            <w:noWrap w:val="0"/>
            <w:vAlign w:val="center"/>
          </w:tcPr>
          <w:p>
            <w:pPr>
              <w:rPr>
                <w:rFonts w:hint="eastAsia"/>
                <w:bCs/>
                <w:sz w:val="24"/>
                <w:szCs w:val="24"/>
              </w:rPr>
            </w:pPr>
            <w:r>
              <w:rPr>
                <w:rFonts w:hint="eastAsia"/>
                <w:bCs/>
                <w:sz w:val="24"/>
                <w:szCs w:val="24"/>
              </w:rPr>
              <w:t>设置地点</w:t>
            </w:r>
          </w:p>
        </w:tc>
        <w:tc>
          <w:tcPr>
            <w:tcW w:w="1173" w:type="dxa"/>
            <w:noWrap w:val="0"/>
            <w:vAlign w:val="center"/>
          </w:tcPr>
          <w:p>
            <w:pPr>
              <w:rPr>
                <w:rFonts w:hint="eastAsia"/>
                <w:bCs/>
                <w:sz w:val="24"/>
                <w:szCs w:val="24"/>
              </w:rPr>
            </w:pPr>
            <w:r>
              <w:rPr>
                <w:rFonts w:hint="eastAsia"/>
                <w:bCs/>
                <w:sz w:val="24"/>
                <w:szCs w:val="24"/>
              </w:rPr>
              <w:t>设备名称</w:t>
            </w:r>
          </w:p>
        </w:tc>
        <w:tc>
          <w:tcPr>
            <w:tcW w:w="753" w:type="dxa"/>
            <w:noWrap w:val="0"/>
            <w:vAlign w:val="center"/>
          </w:tcPr>
          <w:p>
            <w:pPr>
              <w:rPr>
                <w:rFonts w:hint="eastAsia"/>
                <w:bCs/>
                <w:sz w:val="24"/>
                <w:szCs w:val="24"/>
              </w:rPr>
            </w:pPr>
            <w:r>
              <w:rPr>
                <w:rFonts w:hint="eastAsia"/>
                <w:bCs/>
                <w:sz w:val="24"/>
                <w:szCs w:val="24"/>
              </w:rPr>
              <w:t>数量</w:t>
            </w:r>
          </w:p>
        </w:tc>
        <w:tc>
          <w:tcPr>
            <w:tcW w:w="1210" w:type="dxa"/>
            <w:noWrap w:val="0"/>
            <w:vAlign w:val="center"/>
          </w:tcPr>
          <w:p>
            <w:pPr>
              <w:rPr>
                <w:rFonts w:hint="eastAsia"/>
                <w:bCs/>
                <w:sz w:val="24"/>
                <w:szCs w:val="24"/>
              </w:rPr>
            </w:pPr>
            <w:r>
              <w:rPr>
                <w:rFonts w:hint="eastAsia"/>
                <w:bCs/>
                <w:sz w:val="24"/>
                <w:szCs w:val="24"/>
              </w:rPr>
              <w:t>危害因素</w:t>
            </w:r>
          </w:p>
        </w:tc>
        <w:tc>
          <w:tcPr>
            <w:tcW w:w="1407" w:type="dxa"/>
            <w:noWrap w:val="0"/>
            <w:vAlign w:val="center"/>
          </w:tcPr>
          <w:p>
            <w:pPr>
              <w:rPr>
                <w:rFonts w:hint="eastAsia"/>
                <w:bCs/>
                <w:sz w:val="24"/>
                <w:szCs w:val="24"/>
              </w:rPr>
            </w:pPr>
            <w:r>
              <w:rPr>
                <w:rFonts w:hint="eastAsia"/>
                <w:bCs/>
                <w:sz w:val="24"/>
                <w:szCs w:val="24"/>
              </w:rPr>
              <w:t>工序</w:t>
            </w:r>
          </w:p>
        </w:tc>
        <w:tc>
          <w:tcPr>
            <w:tcW w:w="1358" w:type="dxa"/>
            <w:noWrap w:val="0"/>
            <w:vAlign w:val="center"/>
          </w:tcPr>
          <w:p>
            <w:pPr>
              <w:rPr>
                <w:rFonts w:hint="eastAsia"/>
                <w:bCs/>
                <w:sz w:val="24"/>
                <w:szCs w:val="24"/>
              </w:rPr>
            </w:pPr>
          </w:p>
          <w:p>
            <w:pPr>
              <w:rPr>
                <w:rFonts w:hint="eastAsia"/>
                <w:bCs/>
                <w:sz w:val="24"/>
                <w:szCs w:val="24"/>
              </w:rPr>
            </w:pPr>
            <w:r>
              <w:rPr>
                <w:rFonts w:hint="eastAsia"/>
                <w:bCs/>
                <w:sz w:val="24"/>
                <w:szCs w:val="24"/>
              </w:rPr>
              <w:t>建筑</w:t>
            </w:r>
          </w:p>
          <w:p>
            <w:pPr>
              <w:rPr>
                <w:rFonts w:hint="eastAsia"/>
                <w:bCs/>
                <w:sz w:val="24"/>
                <w:szCs w:val="24"/>
              </w:rPr>
            </w:pPr>
            <w:r>
              <w:rPr>
                <w:rFonts w:hint="eastAsia"/>
                <w:bCs/>
                <w:sz w:val="24"/>
                <w:szCs w:val="24"/>
              </w:rPr>
              <w:t>面积</w:t>
            </w:r>
          </w:p>
          <w:p>
            <w:pPr>
              <w:rPr>
                <w:rFonts w:hint="eastAsia"/>
                <w:bCs/>
                <w:sz w:val="24"/>
                <w:szCs w:val="24"/>
              </w:rPr>
            </w:pPr>
          </w:p>
        </w:tc>
        <w:tc>
          <w:tcPr>
            <w:tcW w:w="926" w:type="dxa"/>
            <w:noWrap w:val="0"/>
            <w:vAlign w:val="center"/>
          </w:tcPr>
          <w:p>
            <w:pPr>
              <w:rPr>
                <w:rFonts w:hint="eastAsia"/>
                <w:bCs/>
                <w:sz w:val="24"/>
                <w:szCs w:val="24"/>
              </w:rPr>
            </w:pPr>
            <w:r>
              <w:rPr>
                <w:rFonts w:hint="eastAsia"/>
                <w:bCs/>
                <w:sz w:val="24"/>
                <w:szCs w:val="24"/>
              </w:rPr>
              <w:t>朝向</w:t>
            </w:r>
          </w:p>
        </w:tc>
        <w:tc>
          <w:tcPr>
            <w:tcW w:w="1324" w:type="dxa"/>
            <w:noWrap w:val="0"/>
            <w:vAlign w:val="center"/>
          </w:tcPr>
          <w:p>
            <w:pPr>
              <w:rPr>
                <w:rFonts w:hint="eastAsia" w:eastAsia="宋体"/>
                <w:bCs/>
                <w:sz w:val="24"/>
                <w:szCs w:val="24"/>
                <w:lang w:eastAsia="zh-CN"/>
              </w:rPr>
            </w:pPr>
            <w:r>
              <w:rPr>
                <w:rFonts w:hint="eastAsia"/>
                <w:bCs/>
                <w:sz w:val="24"/>
                <w:szCs w:val="24"/>
                <w:lang w:eastAsia="zh-CN"/>
              </w:rPr>
              <w:t>检测价格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4" w:type="dxa"/>
            <w:noWrap w:val="0"/>
            <w:vAlign w:val="center"/>
          </w:tcPr>
          <w:p>
            <w:pPr>
              <w:rPr>
                <w:rFonts w:hint="eastAsia"/>
                <w:sz w:val="24"/>
                <w:szCs w:val="24"/>
              </w:rPr>
            </w:pPr>
            <w:r>
              <w:rPr>
                <w:rFonts w:hint="eastAsia"/>
                <w:sz w:val="24"/>
                <w:szCs w:val="24"/>
              </w:rPr>
              <w:t>1</w:t>
            </w:r>
          </w:p>
        </w:tc>
        <w:tc>
          <w:tcPr>
            <w:tcW w:w="753" w:type="dxa"/>
            <w:noWrap w:val="0"/>
            <w:vAlign w:val="center"/>
          </w:tcPr>
          <w:p>
            <w:pPr>
              <w:rPr>
                <w:rFonts w:hint="eastAsia"/>
                <w:sz w:val="24"/>
                <w:szCs w:val="24"/>
              </w:rPr>
            </w:pPr>
            <w:r>
              <w:rPr>
                <w:rFonts w:hint="eastAsia"/>
                <w:sz w:val="24"/>
                <w:szCs w:val="24"/>
              </w:rPr>
              <w:t>华云一厂</w:t>
            </w:r>
          </w:p>
        </w:tc>
        <w:tc>
          <w:tcPr>
            <w:tcW w:w="1173" w:type="dxa"/>
            <w:noWrap w:val="0"/>
            <w:vAlign w:val="center"/>
          </w:tcPr>
          <w:p>
            <w:pPr>
              <w:rPr>
                <w:rFonts w:hint="eastAsia"/>
                <w:sz w:val="24"/>
                <w:szCs w:val="24"/>
              </w:rPr>
            </w:pPr>
            <w:r>
              <w:rPr>
                <w:rFonts w:hint="eastAsia"/>
                <w:sz w:val="24"/>
                <w:szCs w:val="24"/>
              </w:rPr>
              <w:t>直读光谱仪</w:t>
            </w:r>
          </w:p>
        </w:tc>
        <w:tc>
          <w:tcPr>
            <w:tcW w:w="753" w:type="dxa"/>
            <w:noWrap w:val="0"/>
            <w:vAlign w:val="center"/>
          </w:tcPr>
          <w:p>
            <w:pPr>
              <w:rPr>
                <w:rFonts w:hint="eastAsia"/>
                <w:sz w:val="24"/>
                <w:szCs w:val="24"/>
              </w:rPr>
            </w:pPr>
            <w:r>
              <w:rPr>
                <w:rFonts w:hint="eastAsia"/>
                <w:sz w:val="24"/>
                <w:szCs w:val="24"/>
              </w:rPr>
              <w:t>1</w:t>
            </w:r>
          </w:p>
        </w:tc>
        <w:tc>
          <w:tcPr>
            <w:tcW w:w="1210" w:type="dxa"/>
            <w:noWrap w:val="0"/>
            <w:vAlign w:val="center"/>
          </w:tcPr>
          <w:p>
            <w:pPr>
              <w:rPr>
                <w:rFonts w:hint="eastAsia"/>
                <w:sz w:val="24"/>
                <w:szCs w:val="24"/>
              </w:rPr>
            </w:pPr>
            <w:r>
              <w:rPr>
                <w:rFonts w:hint="eastAsia"/>
                <w:sz w:val="24"/>
                <w:szCs w:val="24"/>
              </w:rPr>
              <w:t>辐射</w:t>
            </w:r>
          </w:p>
        </w:tc>
        <w:tc>
          <w:tcPr>
            <w:tcW w:w="1407" w:type="dxa"/>
            <w:noWrap w:val="0"/>
            <w:vAlign w:val="center"/>
          </w:tcPr>
          <w:p>
            <w:pPr>
              <w:rPr>
                <w:rFonts w:hint="eastAsia"/>
                <w:sz w:val="24"/>
                <w:szCs w:val="24"/>
              </w:rPr>
            </w:pPr>
            <w:r>
              <w:rPr>
                <w:rFonts w:hint="eastAsia"/>
                <w:sz w:val="24"/>
                <w:szCs w:val="24"/>
              </w:rPr>
              <w:t>光谱分析</w:t>
            </w:r>
          </w:p>
        </w:tc>
        <w:tc>
          <w:tcPr>
            <w:tcW w:w="1358" w:type="dxa"/>
            <w:noWrap w:val="0"/>
            <w:vAlign w:val="center"/>
          </w:tcPr>
          <w:p>
            <w:pPr>
              <w:rPr>
                <w:rFonts w:hint="eastAsia"/>
                <w:sz w:val="24"/>
                <w:szCs w:val="24"/>
              </w:rPr>
            </w:pPr>
            <w:r>
              <w:rPr>
                <w:rFonts w:hint="eastAsia"/>
                <w:sz w:val="24"/>
                <w:szCs w:val="24"/>
              </w:rPr>
              <w:t>15平米</w:t>
            </w:r>
          </w:p>
        </w:tc>
        <w:tc>
          <w:tcPr>
            <w:tcW w:w="926" w:type="dxa"/>
            <w:noWrap w:val="0"/>
            <w:vAlign w:val="center"/>
          </w:tcPr>
          <w:p>
            <w:pPr>
              <w:rPr>
                <w:rFonts w:hint="eastAsia"/>
                <w:sz w:val="24"/>
                <w:szCs w:val="24"/>
              </w:rPr>
            </w:pPr>
            <w:r>
              <w:rPr>
                <w:rFonts w:hint="eastAsia"/>
                <w:sz w:val="24"/>
                <w:szCs w:val="24"/>
              </w:rPr>
              <w:t>东西</w:t>
            </w:r>
          </w:p>
        </w:tc>
        <w:tc>
          <w:tcPr>
            <w:tcW w:w="1324" w:type="dxa"/>
            <w:noWrap w:val="0"/>
            <w:vAlign w:val="center"/>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704" w:type="dxa"/>
            <w:noWrap w:val="0"/>
            <w:vAlign w:val="center"/>
          </w:tcPr>
          <w:p>
            <w:pPr>
              <w:rPr>
                <w:rFonts w:hint="eastAsia"/>
                <w:sz w:val="24"/>
                <w:szCs w:val="24"/>
              </w:rPr>
            </w:pPr>
            <w:r>
              <w:rPr>
                <w:rFonts w:hint="eastAsia"/>
                <w:sz w:val="24"/>
                <w:szCs w:val="24"/>
              </w:rPr>
              <w:t>2</w:t>
            </w:r>
          </w:p>
        </w:tc>
        <w:tc>
          <w:tcPr>
            <w:tcW w:w="753" w:type="dxa"/>
            <w:noWrap w:val="0"/>
            <w:vAlign w:val="center"/>
          </w:tcPr>
          <w:p>
            <w:pPr>
              <w:rPr>
                <w:rFonts w:hint="eastAsia"/>
                <w:sz w:val="24"/>
                <w:szCs w:val="24"/>
              </w:rPr>
            </w:pPr>
            <w:r>
              <w:rPr>
                <w:rFonts w:hint="eastAsia"/>
                <w:sz w:val="24"/>
                <w:szCs w:val="24"/>
              </w:rPr>
              <w:t>华云二厂</w:t>
            </w:r>
          </w:p>
        </w:tc>
        <w:tc>
          <w:tcPr>
            <w:tcW w:w="1173" w:type="dxa"/>
            <w:noWrap w:val="0"/>
            <w:vAlign w:val="center"/>
          </w:tcPr>
          <w:p>
            <w:pPr>
              <w:rPr>
                <w:rFonts w:hint="eastAsia"/>
                <w:sz w:val="24"/>
                <w:szCs w:val="24"/>
              </w:rPr>
            </w:pPr>
            <w:r>
              <w:rPr>
                <w:rFonts w:hint="eastAsia"/>
                <w:sz w:val="24"/>
                <w:szCs w:val="24"/>
              </w:rPr>
              <w:t>直读光谱仪</w:t>
            </w:r>
          </w:p>
        </w:tc>
        <w:tc>
          <w:tcPr>
            <w:tcW w:w="753" w:type="dxa"/>
            <w:noWrap w:val="0"/>
            <w:vAlign w:val="center"/>
          </w:tcPr>
          <w:p>
            <w:pPr>
              <w:rPr>
                <w:rFonts w:hint="eastAsia"/>
                <w:sz w:val="24"/>
                <w:szCs w:val="24"/>
              </w:rPr>
            </w:pPr>
            <w:r>
              <w:rPr>
                <w:rFonts w:hint="eastAsia"/>
                <w:sz w:val="24"/>
                <w:szCs w:val="24"/>
              </w:rPr>
              <w:t>1</w:t>
            </w:r>
          </w:p>
        </w:tc>
        <w:tc>
          <w:tcPr>
            <w:tcW w:w="1210" w:type="dxa"/>
            <w:noWrap w:val="0"/>
            <w:vAlign w:val="center"/>
          </w:tcPr>
          <w:p>
            <w:pPr>
              <w:rPr>
                <w:rFonts w:hint="eastAsia"/>
                <w:sz w:val="24"/>
                <w:szCs w:val="24"/>
              </w:rPr>
            </w:pPr>
            <w:r>
              <w:rPr>
                <w:rFonts w:hint="eastAsia"/>
                <w:sz w:val="24"/>
                <w:szCs w:val="24"/>
              </w:rPr>
              <w:t>辐射</w:t>
            </w:r>
          </w:p>
        </w:tc>
        <w:tc>
          <w:tcPr>
            <w:tcW w:w="1407" w:type="dxa"/>
            <w:noWrap w:val="0"/>
            <w:vAlign w:val="center"/>
          </w:tcPr>
          <w:p>
            <w:pPr>
              <w:rPr>
                <w:rFonts w:hint="eastAsia"/>
                <w:sz w:val="24"/>
                <w:szCs w:val="24"/>
              </w:rPr>
            </w:pPr>
            <w:r>
              <w:rPr>
                <w:rFonts w:hint="eastAsia"/>
                <w:sz w:val="24"/>
                <w:szCs w:val="24"/>
              </w:rPr>
              <w:t>光谱分析</w:t>
            </w:r>
          </w:p>
        </w:tc>
        <w:tc>
          <w:tcPr>
            <w:tcW w:w="1358" w:type="dxa"/>
            <w:noWrap w:val="0"/>
            <w:vAlign w:val="center"/>
          </w:tcPr>
          <w:p>
            <w:pPr>
              <w:rPr>
                <w:rFonts w:hint="eastAsia"/>
                <w:sz w:val="24"/>
                <w:szCs w:val="24"/>
              </w:rPr>
            </w:pPr>
            <w:r>
              <w:rPr>
                <w:rFonts w:hint="eastAsia"/>
                <w:sz w:val="24"/>
                <w:szCs w:val="24"/>
              </w:rPr>
              <w:t>20平米</w:t>
            </w:r>
          </w:p>
        </w:tc>
        <w:tc>
          <w:tcPr>
            <w:tcW w:w="926" w:type="dxa"/>
            <w:noWrap w:val="0"/>
            <w:vAlign w:val="center"/>
          </w:tcPr>
          <w:p>
            <w:pPr>
              <w:rPr>
                <w:rFonts w:hint="eastAsia"/>
                <w:sz w:val="24"/>
                <w:szCs w:val="24"/>
              </w:rPr>
            </w:pPr>
            <w:r>
              <w:rPr>
                <w:rFonts w:hint="eastAsia"/>
                <w:sz w:val="24"/>
                <w:szCs w:val="24"/>
              </w:rPr>
              <w:t>东西</w:t>
            </w:r>
          </w:p>
        </w:tc>
        <w:tc>
          <w:tcPr>
            <w:tcW w:w="1324" w:type="dxa"/>
            <w:noWrap w:val="0"/>
            <w:vAlign w:val="center"/>
          </w:tcPr>
          <w:p>
            <w:pPr>
              <w:rPr>
                <w:rFonts w:hint="eastAsia"/>
                <w:sz w:val="24"/>
                <w:szCs w:val="24"/>
              </w:rPr>
            </w:pPr>
          </w:p>
        </w:tc>
      </w:tr>
    </w:tbl>
    <w:p>
      <w:pPr>
        <w:pStyle w:val="2"/>
        <w:ind w:firstLine="560"/>
        <w:rPr>
          <w:rFonts w:hint="eastAsia"/>
          <w:lang w:bidi="ar"/>
        </w:rPr>
      </w:pPr>
    </w:p>
    <w:p>
      <w:pPr>
        <w:widowControl/>
        <w:jc w:val="left"/>
        <w:rPr>
          <w:rFonts w:ascii="宋体" w:hAnsi="宋体"/>
          <w:sz w:val="24"/>
        </w:rPr>
      </w:pPr>
      <w:r>
        <w:rPr>
          <w:rFonts w:hint="eastAsia" w:ascii="宋体" w:hAnsi="宋体"/>
          <w:sz w:val="24"/>
        </w:rPr>
        <w:t>注：报价时与</w:t>
      </w:r>
      <w:r>
        <w:rPr>
          <w:rFonts w:hint="eastAsia" w:ascii="宋体" w:hAnsi="宋体"/>
          <w:bCs/>
          <w:sz w:val="24"/>
          <w:szCs w:val="30"/>
        </w:rPr>
        <w:t>开标一览表一同单独密封提供，同时将此表装订在响应文件中。</w:t>
      </w:r>
    </w:p>
    <w:p>
      <w:pPr>
        <w:spacing w:line="520" w:lineRule="exact"/>
        <w:rPr>
          <w:rFonts w:ascii="宋体" w:hAnsi="宋体"/>
          <w:sz w:val="24"/>
        </w:rPr>
      </w:pPr>
    </w:p>
    <w:p>
      <w:pPr>
        <w:spacing w:line="520" w:lineRule="exact"/>
        <w:rPr>
          <w:rFonts w:ascii="宋体" w:hAnsi="宋体"/>
          <w:sz w:val="24"/>
          <w:u w:val="single"/>
        </w:rPr>
      </w:pPr>
      <w:r>
        <w:rPr>
          <w:rFonts w:hint="eastAsia" w:ascii="宋体" w:hAnsi="宋体"/>
          <w:sz w:val="24"/>
        </w:rPr>
        <w:t>供应商（公章）：</w:t>
      </w:r>
      <w:r>
        <w:rPr>
          <w:rFonts w:hint="eastAsia" w:ascii="宋体" w:hAnsi="宋体"/>
          <w:sz w:val="24"/>
          <w:u w:val="single"/>
        </w:rPr>
        <w:t xml:space="preserve">                         </w:t>
      </w:r>
    </w:p>
    <w:p>
      <w:pPr>
        <w:spacing w:line="520" w:lineRule="exact"/>
        <w:rPr>
          <w:rFonts w:ascii="宋体" w:hAnsi="宋体"/>
          <w:sz w:val="24"/>
        </w:rPr>
      </w:pPr>
      <w:r>
        <w:rPr>
          <w:rFonts w:hint="eastAsia" w:ascii="宋体"/>
          <w:sz w:val="24"/>
        </w:rPr>
        <w:t>法定代表人或其授权人签字：</w:t>
      </w:r>
      <w:r>
        <w:rPr>
          <w:rFonts w:ascii="宋体"/>
          <w:sz w:val="24"/>
          <w:u w:val="single"/>
        </w:rPr>
        <w:t xml:space="preserve">                </w:t>
      </w:r>
      <w:r>
        <w:rPr>
          <w:rFonts w:ascii="宋体"/>
          <w:sz w:val="24"/>
        </w:rPr>
        <w:t xml:space="preserve"> </w:t>
      </w:r>
    </w:p>
    <w:p>
      <w:pPr>
        <w:spacing w:line="520" w:lineRule="exact"/>
        <w:rPr>
          <w:rFonts w:ascii="宋体"/>
          <w:b/>
          <w:bCs/>
          <w:sz w:val="24"/>
        </w:rPr>
      </w:pPr>
      <w:r>
        <w:rPr>
          <w:rFonts w:hint="eastAsia" w:ascii="宋体"/>
          <w:sz w:val="24"/>
        </w:rPr>
        <w:t>日</w:t>
      </w:r>
      <w:r>
        <w:rPr>
          <w:rFonts w:ascii="宋体"/>
          <w:sz w:val="24"/>
        </w:rPr>
        <w:t xml:space="preserve">        </w:t>
      </w:r>
      <w:r>
        <w:rPr>
          <w:rFonts w:hint="eastAsia" w:ascii="宋体"/>
          <w:sz w:val="24"/>
        </w:rPr>
        <w:t>期：</w:t>
      </w:r>
      <w:r>
        <w:rPr>
          <w:rFonts w:ascii="宋体"/>
          <w:sz w:val="24"/>
          <w:u w:val="single"/>
        </w:rPr>
        <w:t xml:space="preserve">                </w:t>
      </w:r>
      <w:r>
        <w:rPr>
          <w:rFonts w:ascii="宋体"/>
          <w:sz w:val="24"/>
        </w:rPr>
        <w:t xml:space="preserve"> </w:t>
      </w:r>
    </w:p>
    <w:p>
      <w:pPr>
        <w:widowControl/>
        <w:jc w:val="left"/>
        <w:rPr>
          <w:rFonts w:ascii="宋体" w:hAnsi="宋体"/>
          <w:b/>
          <w:bCs/>
          <w:color w:val="000000"/>
          <w:sz w:val="32"/>
          <w:szCs w:val="32"/>
        </w:rPr>
      </w:pPr>
      <w:r>
        <w:rPr>
          <w:rFonts w:ascii="宋体" w:hAnsi="宋体"/>
          <w:b/>
          <w:bCs/>
          <w:color w:val="000000"/>
          <w:sz w:val="32"/>
          <w:szCs w:val="32"/>
        </w:rPr>
        <w:br w:type="page"/>
      </w:r>
    </w:p>
    <w:p>
      <w:pPr>
        <w:tabs>
          <w:tab w:val="left" w:pos="4095"/>
        </w:tabs>
        <w:jc w:val="center"/>
        <w:rPr>
          <w:rFonts w:ascii="宋体" w:hAnsi="宋体"/>
          <w:b/>
          <w:bCs/>
          <w:color w:val="000000"/>
          <w:sz w:val="32"/>
          <w:szCs w:val="32"/>
        </w:rPr>
        <w:sectPr>
          <w:pgSz w:w="11906" w:h="16838"/>
          <w:pgMar w:top="1134" w:right="1797" w:bottom="1440" w:left="988" w:header="567" w:footer="1267" w:gutter="0"/>
          <w:cols w:space="425" w:num="1"/>
          <w:titlePg/>
          <w:docGrid w:type="lines" w:linePitch="312" w:charSpace="0"/>
        </w:sectPr>
      </w:pPr>
    </w:p>
    <w:p>
      <w:pPr>
        <w:spacing w:before="240" w:after="240"/>
        <w:jc w:val="center"/>
        <w:rPr>
          <w:b/>
          <w:snapToGrid w:val="0"/>
          <w:sz w:val="32"/>
          <w:szCs w:val="32"/>
        </w:rPr>
      </w:pPr>
      <w:r>
        <w:rPr>
          <w:rFonts w:hint="eastAsia"/>
          <w:b/>
          <w:snapToGrid w:val="0"/>
          <w:sz w:val="32"/>
          <w:szCs w:val="32"/>
        </w:rPr>
        <w:t>授权委托书</w:t>
      </w:r>
    </w:p>
    <w:p>
      <w:pPr>
        <w:adjustRightInd w:val="0"/>
        <w:snapToGrid w:val="0"/>
        <w:spacing w:before="50" w:line="360" w:lineRule="auto"/>
        <w:jc w:val="left"/>
        <w:rPr>
          <w:rFonts w:ascii="宋体" w:hAnsi="宋体"/>
          <w:snapToGrid w:val="0"/>
          <w:sz w:val="24"/>
          <w:szCs w:val="24"/>
        </w:rPr>
      </w:pPr>
      <w:r>
        <w:rPr>
          <w:rFonts w:hint="eastAsia" w:ascii="宋体" w:hAnsi="宋体"/>
          <w:snapToGrid w:val="0"/>
          <w:sz w:val="24"/>
          <w:szCs w:val="24"/>
          <w:u w:val="single"/>
          <w:lang w:eastAsia="zh-CN"/>
        </w:rPr>
        <w:t>内蒙古华云新材料有限公司</w:t>
      </w:r>
      <w:r>
        <w:rPr>
          <w:rFonts w:hint="eastAsia" w:ascii="宋体" w:hAnsi="宋体"/>
          <w:snapToGrid w:val="0"/>
          <w:sz w:val="24"/>
          <w:szCs w:val="24"/>
        </w:rPr>
        <w:t>：</w:t>
      </w:r>
    </w:p>
    <w:p>
      <w:pPr>
        <w:ind w:firstLine="607" w:firstLineChars="253"/>
        <w:jc w:val="left"/>
        <w:rPr>
          <w:rFonts w:ascii="宋体" w:hAnsi="宋体"/>
          <w:snapToGrid w:val="0"/>
          <w:sz w:val="24"/>
          <w:szCs w:val="24"/>
        </w:rPr>
      </w:pPr>
      <w:r>
        <w:rPr>
          <w:rFonts w:hint="eastAsia" w:ascii="宋体" w:hAnsi="宋体"/>
          <w:snapToGrid w:val="0"/>
          <w:sz w:val="24"/>
          <w:szCs w:val="24"/>
        </w:rPr>
        <w:t>我</w:t>
      </w:r>
      <w:r>
        <w:rPr>
          <w:rFonts w:hint="eastAsia" w:ascii="宋体" w:hAnsi="宋体"/>
          <w:snapToGrid w:val="0"/>
          <w:sz w:val="24"/>
          <w:szCs w:val="24"/>
          <w:u w:val="single"/>
        </w:rPr>
        <w:t xml:space="preserve">      </w:t>
      </w:r>
      <w:r>
        <w:rPr>
          <w:rFonts w:hint="eastAsia" w:ascii="宋体" w:hAnsi="宋体"/>
          <w:snapToGrid w:val="0"/>
          <w:sz w:val="24"/>
          <w:szCs w:val="24"/>
        </w:rPr>
        <w:t>(姓名)系</w:t>
      </w:r>
      <w:r>
        <w:rPr>
          <w:rFonts w:hint="eastAsia" w:ascii="宋体" w:hAnsi="宋体"/>
          <w:snapToGrid w:val="0"/>
          <w:sz w:val="24"/>
          <w:szCs w:val="24"/>
          <w:u w:val="single"/>
        </w:rPr>
        <w:t xml:space="preserve">           </w:t>
      </w:r>
      <w:r>
        <w:rPr>
          <w:rFonts w:hint="eastAsia" w:ascii="宋体" w:hAnsi="宋体"/>
          <w:snapToGrid w:val="0"/>
          <w:sz w:val="24"/>
          <w:szCs w:val="24"/>
        </w:rPr>
        <w:t>(供应商名称)的法定代表人，现授权委托</w:t>
      </w:r>
      <w:r>
        <w:rPr>
          <w:rFonts w:hint="eastAsia" w:ascii="宋体" w:hAnsi="宋体"/>
          <w:snapToGrid w:val="0"/>
          <w:sz w:val="24"/>
          <w:szCs w:val="24"/>
          <w:u w:val="single"/>
        </w:rPr>
        <w:t xml:space="preserve">        </w:t>
      </w:r>
      <w:r>
        <w:rPr>
          <w:rFonts w:hint="eastAsia" w:ascii="宋体" w:hAnsi="宋体"/>
          <w:snapToGrid w:val="0"/>
          <w:sz w:val="24"/>
          <w:szCs w:val="24"/>
        </w:rPr>
        <w:t>(姓名)为我公司代理人，以本公司的名义参加</w:t>
      </w:r>
      <w:r>
        <w:rPr>
          <w:rFonts w:hint="eastAsia" w:ascii="宋体" w:hAnsi="宋体"/>
          <w:snapToGrid w:val="0"/>
          <w:sz w:val="24"/>
          <w:szCs w:val="24"/>
          <w:lang w:eastAsia="zh-CN"/>
        </w:rPr>
        <w:t>内蒙古华云新材料有限公司</w:t>
      </w:r>
      <w:r>
        <w:rPr>
          <w:rFonts w:hint="eastAsia" w:ascii="宋体" w:hAnsi="宋体"/>
          <w:snapToGrid w:val="0"/>
          <w:sz w:val="24"/>
          <w:szCs w:val="24"/>
          <w:u w:val="single"/>
        </w:rPr>
        <w:t xml:space="preserve">  （采购项目名称）               </w:t>
      </w:r>
      <w:r>
        <w:rPr>
          <w:rFonts w:hint="eastAsia" w:ascii="宋体" w:hAnsi="宋体"/>
          <w:snapToGrid w:val="0"/>
          <w:sz w:val="24"/>
          <w:szCs w:val="24"/>
        </w:rPr>
        <w:t>的采购活动。代理人在报名、报价、采购谈判及合同谈判过程中所签署的一切文件和处理与之有关的一切事务，我均予以承认。</w:t>
      </w:r>
    </w:p>
    <w:p>
      <w:pPr>
        <w:adjustRightInd w:val="0"/>
        <w:snapToGrid w:val="0"/>
        <w:spacing w:before="50" w:line="360" w:lineRule="auto"/>
        <w:ind w:firstLine="397"/>
        <w:jc w:val="left"/>
        <w:rPr>
          <w:rFonts w:ascii="宋体" w:hAnsi="宋体"/>
          <w:snapToGrid w:val="0"/>
          <w:sz w:val="24"/>
          <w:szCs w:val="24"/>
        </w:rPr>
      </w:pPr>
      <w:r>
        <w:rPr>
          <w:rFonts w:hint="eastAsia" w:ascii="宋体" w:hAnsi="宋体"/>
          <w:snapToGrid w:val="0"/>
          <w:sz w:val="24"/>
          <w:szCs w:val="24"/>
        </w:rPr>
        <w:t>代理人无转委权。特此委托。</w:t>
      </w:r>
    </w:p>
    <w:p>
      <w:pPr>
        <w:adjustRightInd w:val="0"/>
        <w:snapToGrid w:val="0"/>
        <w:spacing w:before="50" w:line="360" w:lineRule="auto"/>
        <w:ind w:firstLine="397"/>
        <w:jc w:val="left"/>
        <w:rPr>
          <w:rFonts w:ascii="宋体" w:hAnsi="宋体"/>
          <w:snapToGrid w:val="0"/>
          <w:sz w:val="24"/>
          <w:szCs w:val="24"/>
          <w:u w:val="single"/>
        </w:rPr>
      </w:pPr>
      <w:r>
        <w:rPr>
          <w:rFonts w:hint="eastAsia" w:ascii="宋体" w:hAnsi="宋体"/>
          <w:snapToGrid w:val="0"/>
          <w:sz w:val="24"/>
          <w:szCs w:val="24"/>
        </w:rPr>
        <w:t>代理人：</w:t>
      </w:r>
      <w:r>
        <w:rPr>
          <w:rFonts w:hint="eastAsia" w:ascii="宋体" w:hAnsi="宋体"/>
          <w:snapToGrid w:val="0"/>
          <w:sz w:val="24"/>
          <w:szCs w:val="24"/>
          <w:u w:val="single"/>
        </w:rPr>
        <w:t xml:space="preserve">          </w:t>
      </w:r>
      <w:r>
        <w:rPr>
          <w:rFonts w:hint="eastAsia" w:ascii="宋体" w:hAnsi="宋体"/>
          <w:snapToGrid w:val="0"/>
          <w:sz w:val="24"/>
          <w:szCs w:val="24"/>
        </w:rPr>
        <w:t>性别：</w:t>
      </w:r>
      <w:r>
        <w:rPr>
          <w:rFonts w:hint="eastAsia" w:ascii="宋体" w:hAnsi="宋体"/>
          <w:snapToGrid w:val="0"/>
          <w:sz w:val="24"/>
          <w:szCs w:val="24"/>
          <w:u w:val="single"/>
        </w:rPr>
        <w:t xml:space="preserve">      </w:t>
      </w:r>
      <w:r>
        <w:rPr>
          <w:rFonts w:hint="eastAsia" w:ascii="宋体" w:hAnsi="宋体"/>
          <w:snapToGrid w:val="0"/>
          <w:sz w:val="24"/>
          <w:szCs w:val="24"/>
        </w:rPr>
        <w:t>年龄：</w:t>
      </w:r>
      <w:r>
        <w:rPr>
          <w:rFonts w:hint="eastAsia" w:ascii="宋体" w:hAnsi="宋体"/>
          <w:snapToGrid w:val="0"/>
          <w:sz w:val="24"/>
          <w:szCs w:val="24"/>
          <w:u w:val="single"/>
        </w:rPr>
        <w:t xml:space="preserve">        </w:t>
      </w:r>
    </w:p>
    <w:p>
      <w:pPr>
        <w:adjustRightInd w:val="0"/>
        <w:snapToGrid w:val="0"/>
        <w:spacing w:before="50" w:line="360" w:lineRule="auto"/>
        <w:ind w:firstLine="397"/>
        <w:jc w:val="left"/>
        <w:rPr>
          <w:rFonts w:ascii="宋体" w:hAnsi="宋体"/>
          <w:snapToGrid w:val="0"/>
          <w:sz w:val="24"/>
          <w:szCs w:val="24"/>
          <w:u w:val="single"/>
        </w:rPr>
      </w:pPr>
      <w:r>
        <w:rPr>
          <w:rFonts w:hint="eastAsia" w:ascii="宋体" w:hAnsi="宋体"/>
          <w:snapToGrid w:val="0"/>
          <w:sz w:val="24"/>
          <w:szCs w:val="24"/>
        </w:rPr>
        <w:t>单位：</w:t>
      </w:r>
      <w:r>
        <w:rPr>
          <w:rFonts w:hint="eastAsia" w:ascii="宋体" w:hAnsi="宋体"/>
          <w:snapToGrid w:val="0"/>
          <w:sz w:val="24"/>
          <w:szCs w:val="24"/>
          <w:u w:val="single"/>
        </w:rPr>
        <w:t xml:space="preserve">              </w:t>
      </w:r>
      <w:r>
        <w:rPr>
          <w:rFonts w:hint="eastAsia" w:ascii="宋体" w:hAnsi="宋体"/>
          <w:snapToGrid w:val="0"/>
          <w:sz w:val="24"/>
          <w:szCs w:val="24"/>
        </w:rPr>
        <w:t>部门：</w:t>
      </w:r>
      <w:r>
        <w:rPr>
          <w:rFonts w:hint="eastAsia" w:ascii="宋体" w:hAnsi="宋体"/>
          <w:snapToGrid w:val="0"/>
          <w:sz w:val="24"/>
          <w:szCs w:val="24"/>
          <w:u w:val="single"/>
        </w:rPr>
        <w:t xml:space="preserve">              </w:t>
      </w:r>
      <w:r>
        <w:rPr>
          <w:rFonts w:hint="eastAsia" w:ascii="宋体" w:hAnsi="宋体"/>
          <w:snapToGrid w:val="0"/>
          <w:sz w:val="24"/>
          <w:szCs w:val="24"/>
        </w:rPr>
        <w:t>职务：</w:t>
      </w:r>
      <w:r>
        <w:rPr>
          <w:rFonts w:hint="eastAsia" w:ascii="宋体" w:hAnsi="宋体"/>
          <w:snapToGrid w:val="0"/>
          <w:sz w:val="24"/>
          <w:szCs w:val="24"/>
          <w:u w:val="single"/>
        </w:rPr>
        <w:t xml:space="preserve">          </w:t>
      </w:r>
    </w:p>
    <w:p>
      <w:pPr>
        <w:adjustRightInd w:val="0"/>
        <w:snapToGrid w:val="0"/>
        <w:spacing w:before="50" w:line="360" w:lineRule="auto"/>
        <w:ind w:firstLine="397"/>
        <w:jc w:val="left"/>
        <w:rPr>
          <w:rFonts w:ascii="宋体" w:hAnsi="宋体"/>
          <w:snapToGrid w:val="0"/>
          <w:sz w:val="24"/>
          <w:szCs w:val="24"/>
        </w:rPr>
      </w:pPr>
      <w:r>
        <w:rPr>
          <w:rFonts w:hint="eastAsia" w:ascii="宋体" w:hAnsi="宋体"/>
          <w:snapToGrid w:val="0"/>
          <w:sz w:val="24"/>
          <w:szCs w:val="24"/>
        </w:rPr>
        <w:t>供应商名称</w:t>
      </w:r>
      <w:r>
        <w:rPr>
          <w:rFonts w:ascii="宋体" w:hAnsi="宋体"/>
          <w:snapToGrid w:val="0"/>
          <w:sz w:val="24"/>
          <w:szCs w:val="24"/>
        </w:rPr>
        <w:t>（盖单位</w:t>
      </w:r>
      <w:r>
        <w:rPr>
          <w:rFonts w:hint="eastAsia" w:ascii="宋体" w:hAnsi="宋体"/>
          <w:snapToGrid w:val="0"/>
          <w:sz w:val="24"/>
          <w:szCs w:val="24"/>
        </w:rPr>
        <w:t>公章</w:t>
      </w:r>
      <w:r>
        <w:rPr>
          <w:rFonts w:ascii="宋体" w:hAnsi="宋体"/>
          <w:snapToGrid w:val="0"/>
          <w:sz w:val="24"/>
          <w:szCs w:val="24"/>
        </w:rPr>
        <w:t>）：</w:t>
      </w:r>
      <w:r>
        <w:rPr>
          <w:rFonts w:ascii="宋体" w:hAnsi="宋体"/>
          <w:snapToGrid w:val="0"/>
          <w:sz w:val="24"/>
          <w:szCs w:val="24"/>
          <w:u w:val="single"/>
        </w:rPr>
        <w:t xml:space="preserve">                      </w:t>
      </w:r>
    </w:p>
    <w:p>
      <w:pPr>
        <w:adjustRightInd w:val="0"/>
        <w:snapToGrid w:val="0"/>
        <w:spacing w:before="50" w:line="360" w:lineRule="auto"/>
        <w:ind w:firstLine="397"/>
        <w:jc w:val="left"/>
        <w:rPr>
          <w:rFonts w:ascii="宋体" w:hAnsi="宋体"/>
          <w:snapToGrid w:val="0"/>
          <w:sz w:val="24"/>
          <w:szCs w:val="24"/>
        </w:rPr>
      </w:pPr>
      <w:r>
        <w:rPr>
          <w:rFonts w:hint="eastAsia" w:ascii="宋体" w:hAnsi="宋体"/>
          <w:snapToGrid w:val="0"/>
          <w:sz w:val="24"/>
          <w:szCs w:val="24"/>
        </w:rPr>
        <w:t>法定代表人(签字)：</w:t>
      </w:r>
    </w:p>
    <w:p>
      <w:pPr>
        <w:adjustRightInd w:val="0"/>
        <w:snapToGrid w:val="0"/>
        <w:spacing w:before="50" w:line="360" w:lineRule="auto"/>
        <w:ind w:firstLine="397"/>
        <w:jc w:val="left"/>
        <w:rPr>
          <w:rFonts w:ascii="宋体" w:hAnsi="宋体"/>
          <w:snapToGrid w:val="0"/>
          <w:sz w:val="24"/>
          <w:szCs w:val="24"/>
        </w:rPr>
      </w:pPr>
      <w:r>
        <w:rPr>
          <w:rFonts w:hint="eastAsia" w:ascii="宋体" w:hAnsi="宋体"/>
          <w:snapToGrid w:val="0"/>
          <w:sz w:val="24"/>
          <w:szCs w:val="24"/>
        </w:rPr>
        <w:t>代理人(签字)：</w:t>
      </w:r>
    </w:p>
    <w:p>
      <w:pPr>
        <w:adjustRightInd w:val="0"/>
        <w:snapToGrid w:val="0"/>
        <w:spacing w:before="50" w:line="360" w:lineRule="auto"/>
        <w:ind w:left="2125" w:firstLine="425"/>
        <w:jc w:val="left"/>
        <w:rPr>
          <w:rFonts w:ascii="宋体" w:hAnsi="宋体"/>
          <w:snapToGrid w:val="0"/>
          <w:sz w:val="24"/>
          <w:szCs w:val="24"/>
        </w:rPr>
      </w:pPr>
      <w:r>
        <w:rPr>
          <w:rFonts w:hint="eastAsia" w:ascii="宋体" w:hAnsi="宋体"/>
          <w:snapToGrid w:val="0"/>
          <w:sz w:val="24"/>
          <w:szCs w:val="24"/>
        </w:rPr>
        <w:t>日期：</w:t>
      </w:r>
      <w:r>
        <w:rPr>
          <w:rFonts w:hint="eastAsia" w:ascii="宋体" w:hAnsi="宋体"/>
          <w:snapToGrid w:val="0"/>
          <w:sz w:val="24"/>
          <w:szCs w:val="24"/>
          <w:u w:val="single"/>
        </w:rPr>
        <w:t xml:space="preserve">        </w:t>
      </w:r>
      <w:r>
        <w:rPr>
          <w:rFonts w:hint="eastAsia" w:ascii="宋体" w:hAnsi="宋体"/>
          <w:snapToGrid w:val="0"/>
          <w:sz w:val="24"/>
          <w:szCs w:val="24"/>
        </w:rPr>
        <w:t>年</w:t>
      </w:r>
      <w:r>
        <w:rPr>
          <w:rFonts w:hint="eastAsia" w:ascii="宋体" w:hAnsi="宋体"/>
          <w:snapToGrid w:val="0"/>
          <w:sz w:val="24"/>
          <w:szCs w:val="24"/>
          <w:u w:val="single"/>
        </w:rPr>
        <w:t xml:space="preserve">        </w:t>
      </w:r>
      <w:r>
        <w:rPr>
          <w:rFonts w:hint="eastAsia" w:ascii="宋体" w:hAnsi="宋体"/>
          <w:snapToGrid w:val="0"/>
          <w:sz w:val="24"/>
          <w:szCs w:val="24"/>
        </w:rPr>
        <w:t>月</w:t>
      </w:r>
      <w:r>
        <w:rPr>
          <w:rFonts w:hint="eastAsia" w:ascii="宋体" w:hAnsi="宋体"/>
          <w:snapToGrid w:val="0"/>
          <w:sz w:val="24"/>
          <w:szCs w:val="24"/>
          <w:u w:val="single"/>
        </w:rPr>
        <w:t xml:space="preserve">        </w:t>
      </w:r>
      <w:r>
        <w:rPr>
          <w:rFonts w:hint="eastAsia" w:ascii="宋体" w:hAnsi="宋体"/>
          <w:snapToGrid w:val="0"/>
          <w:sz w:val="24"/>
          <w:szCs w:val="24"/>
        </w:rPr>
        <w:t>日</w:t>
      </w:r>
    </w:p>
    <w:p>
      <w:pPr>
        <w:spacing w:line="360" w:lineRule="auto"/>
        <w:rPr>
          <w:rFonts w:ascii="宋体" w:hAnsi="宋体"/>
          <w:b/>
          <w:color w:val="000000"/>
          <w:sz w:val="24"/>
          <w:szCs w:val="24"/>
        </w:rPr>
      </w:pPr>
      <w:r>
        <w:rPr>
          <w:rFonts w:hint="eastAsia" w:ascii="宋体" w:hAnsi="宋体"/>
          <w:b/>
          <w:color w:val="000000"/>
          <w:sz w:val="24"/>
          <w:szCs w:val="24"/>
        </w:rPr>
        <w:t>后附：法定代表人和代理人身份证正反面复印件</w:t>
      </w:r>
    </w:p>
    <w:p>
      <w:pPr>
        <w:spacing w:line="360" w:lineRule="auto"/>
        <w:ind w:firstLine="600" w:firstLineChars="250"/>
        <w:rPr>
          <w:sz w:val="24"/>
          <w:szCs w:val="24"/>
        </w:rPr>
      </w:pPr>
    </w:p>
    <w:p>
      <w:pPr>
        <w:adjustRightInd w:val="0"/>
        <w:snapToGrid w:val="0"/>
        <w:spacing w:line="440" w:lineRule="exact"/>
        <w:jc w:val="center"/>
        <w:rPr>
          <w:rFonts w:ascii="宋体"/>
          <w:b/>
          <w:color w:val="000000"/>
          <w:sz w:val="32"/>
          <w:szCs w:val="32"/>
        </w:rPr>
      </w:pPr>
      <w:r>
        <w:rPr>
          <w:rFonts w:ascii="宋体" w:hAnsi="宋体"/>
          <w:b/>
          <w:color w:val="000000"/>
          <w:sz w:val="24"/>
        </w:rPr>
        <w:br w:type="page"/>
      </w:r>
      <w:r>
        <w:rPr>
          <w:rFonts w:hint="eastAsia" w:ascii="宋体"/>
          <w:b/>
          <w:color w:val="000000"/>
          <w:sz w:val="32"/>
          <w:szCs w:val="32"/>
        </w:rPr>
        <w:t>供应商廉洁自律承诺书</w:t>
      </w:r>
    </w:p>
    <w:p>
      <w:pPr>
        <w:adjustRightInd w:val="0"/>
        <w:snapToGrid w:val="0"/>
        <w:spacing w:line="440" w:lineRule="exact"/>
        <w:rPr>
          <w:rFonts w:ascii="宋体"/>
          <w:color w:val="000000"/>
          <w:sz w:val="32"/>
          <w:szCs w:val="32"/>
        </w:rPr>
      </w:pPr>
    </w:p>
    <w:p>
      <w:pPr>
        <w:adjustRightInd w:val="0"/>
        <w:snapToGrid w:val="0"/>
        <w:spacing w:line="440" w:lineRule="exact"/>
        <w:ind w:firstLine="480" w:firstLineChars="200"/>
        <w:rPr>
          <w:rFonts w:ascii="宋体"/>
          <w:color w:val="000000"/>
          <w:sz w:val="24"/>
        </w:rPr>
      </w:pPr>
      <w:r>
        <w:rPr>
          <w:rFonts w:hint="eastAsia" w:ascii="宋体"/>
          <w:color w:val="000000"/>
          <w:sz w:val="24"/>
        </w:rPr>
        <w:t>为维护行业形象，保证</w:t>
      </w:r>
      <w:r>
        <w:rPr>
          <w:rFonts w:hint="eastAsia" w:ascii="宋体"/>
          <w:color w:val="000000"/>
          <w:sz w:val="24"/>
          <w:u w:val="single"/>
        </w:rPr>
        <w:t xml:space="preserve">    （采购项目名称）     </w:t>
      </w:r>
      <w:r>
        <w:rPr>
          <w:rFonts w:hint="eastAsia" w:ascii="宋体"/>
          <w:color w:val="000000"/>
          <w:sz w:val="24"/>
        </w:rPr>
        <w:t>采购、评审工作的合法开展和顺利进行，维护采购、评审工作的正常秩序，本公司特郑重承诺如下：</w:t>
      </w:r>
    </w:p>
    <w:p>
      <w:pPr>
        <w:adjustRightInd w:val="0"/>
        <w:snapToGrid w:val="0"/>
        <w:spacing w:line="440" w:lineRule="exact"/>
        <w:ind w:firstLine="480" w:firstLineChars="200"/>
        <w:rPr>
          <w:rFonts w:ascii="宋体"/>
          <w:color w:val="000000"/>
          <w:sz w:val="24"/>
        </w:rPr>
      </w:pPr>
      <w:r>
        <w:rPr>
          <w:rFonts w:hint="eastAsia" w:ascii="宋体"/>
          <w:color w:val="000000"/>
          <w:sz w:val="24"/>
        </w:rPr>
        <w:t>一、严格按照《中华人民共和国招标投标法》、《反不正当竞争法》等有关法律、法规、规章、政策的规定，规范本公司的报价工作，保证做到合法、正当竞争、廉洁经营。</w:t>
      </w:r>
    </w:p>
    <w:p>
      <w:pPr>
        <w:adjustRightInd w:val="0"/>
        <w:snapToGrid w:val="0"/>
        <w:spacing w:line="440" w:lineRule="exact"/>
        <w:ind w:firstLine="480" w:firstLineChars="200"/>
        <w:rPr>
          <w:rFonts w:ascii="宋体"/>
          <w:color w:val="000000"/>
          <w:sz w:val="24"/>
        </w:rPr>
      </w:pPr>
      <w:r>
        <w:rPr>
          <w:rFonts w:hint="eastAsia" w:ascii="宋体"/>
          <w:color w:val="000000"/>
          <w:sz w:val="24"/>
        </w:rPr>
        <w:t>二、本公司保证在报价工作中承诺做到：</w:t>
      </w:r>
    </w:p>
    <w:p>
      <w:pPr>
        <w:adjustRightInd w:val="0"/>
        <w:snapToGrid w:val="0"/>
        <w:spacing w:line="440" w:lineRule="exact"/>
        <w:ind w:firstLine="480" w:firstLineChars="200"/>
        <w:rPr>
          <w:rFonts w:ascii="宋体"/>
          <w:color w:val="000000"/>
          <w:sz w:val="24"/>
        </w:rPr>
      </w:pPr>
      <w:r>
        <w:rPr>
          <w:rFonts w:hint="eastAsia" w:ascii="宋体"/>
          <w:color w:val="000000"/>
          <w:sz w:val="24"/>
        </w:rPr>
        <w:t>1．不与其他供应商相互串通报价，哄抬报价，损害贵单位的合法权益；</w:t>
      </w:r>
    </w:p>
    <w:p>
      <w:pPr>
        <w:adjustRightInd w:val="0"/>
        <w:snapToGrid w:val="0"/>
        <w:spacing w:line="440" w:lineRule="exact"/>
        <w:ind w:firstLine="480" w:firstLineChars="200"/>
        <w:rPr>
          <w:rFonts w:ascii="宋体"/>
          <w:color w:val="000000"/>
          <w:sz w:val="24"/>
        </w:rPr>
      </w:pPr>
      <w:r>
        <w:rPr>
          <w:rFonts w:hint="eastAsia" w:ascii="宋体"/>
          <w:color w:val="000000"/>
          <w:sz w:val="24"/>
        </w:rPr>
        <w:t>2．不与采购人串通报价，损害国家利益、社会公共利益或他人的合法权益；</w:t>
      </w:r>
    </w:p>
    <w:p>
      <w:pPr>
        <w:adjustRightInd w:val="0"/>
        <w:snapToGrid w:val="0"/>
        <w:spacing w:line="440" w:lineRule="exact"/>
        <w:ind w:firstLine="480" w:firstLineChars="200"/>
        <w:rPr>
          <w:rFonts w:ascii="宋体"/>
          <w:color w:val="000000"/>
          <w:sz w:val="24"/>
        </w:rPr>
      </w:pPr>
      <w:r>
        <w:rPr>
          <w:rFonts w:hint="eastAsia" w:ascii="宋体"/>
          <w:color w:val="000000"/>
          <w:sz w:val="24"/>
        </w:rPr>
        <w:t>3．不以向采购人或者谈判小组成员行贿；不给予国家工作人员以及中介机构工作人员及其亲属各种形式的商业贿赂（包括送礼金礼品、有价证券、购物券、回扣、佣金、咨询费、劳务费、赞助费、宣传费、支付旅游费用、报销各种消费凭证、宴请、娱乐等）；</w:t>
      </w:r>
    </w:p>
    <w:p>
      <w:pPr>
        <w:adjustRightInd w:val="0"/>
        <w:snapToGrid w:val="0"/>
        <w:spacing w:line="440" w:lineRule="exact"/>
        <w:ind w:firstLine="480" w:firstLineChars="200"/>
        <w:rPr>
          <w:rFonts w:ascii="宋体"/>
          <w:color w:val="000000"/>
          <w:sz w:val="24"/>
        </w:rPr>
      </w:pPr>
      <w:r>
        <w:rPr>
          <w:rFonts w:hint="eastAsia" w:ascii="宋体"/>
          <w:color w:val="000000"/>
          <w:sz w:val="24"/>
        </w:rPr>
        <w:t>4．报价过程中不违反相关法律的规定，也不以他人名义报价或者以其他方式弄虚作假；</w:t>
      </w:r>
    </w:p>
    <w:p>
      <w:pPr>
        <w:adjustRightInd w:val="0"/>
        <w:snapToGrid w:val="0"/>
        <w:spacing w:line="440" w:lineRule="exact"/>
        <w:ind w:firstLine="480" w:firstLineChars="200"/>
        <w:rPr>
          <w:rFonts w:ascii="宋体"/>
          <w:color w:val="000000"/>
          <w:sz w:val="24"/>
        </w:rPr>
      </w:pPr>
      <w:r>
        <w:rPr>
          <w:rFonts w:hint="eastAsia" w:ascii="宋体"/>
          <w:color w:val="000000"/>
          <w:sz w:val="24"/>
        </w:rPr>
        <w:t>5．保证不在无理由、无证据的情况下对其他供应商进行诋毁，或向采购人及监督部门投诉、质疑，破坏公平竞争环境；不以其他任何方式扰乱贵单位的采购、评审工作。</w:t>
      </w:r>
    </w:p>
    <w:p>
      <w:pPr>
        <w:adjustRightInd w:val="0"/>
        <w:snapToGrid w:val="0"/>
        <w:spacing w:line="440" w:lineRule="exact"/>
        <w:ind w:firstLine="480" w:firstLineChars="200"/>
        <w:rPr>
          <w:rFonts w:ascii="宋体"/>
          <w:color w:val="000000"/>
          <w:sz w:val="24"/>
        </w:rPr>
      </w:pPr>
      <w:r>
        <w:rPr>
          <w:rFonts w:hint="eastAsia" w:ascii="宋体"/>
          <w:color w:val="000000"/>
          <w:sz w:val="24"/>
        </w:rPr>
        <w:t>三、我公司承诺在报价活动中，如有违反上述行为，我公司及项目参与人员愿意按照《招标投标法》及《反不正当竞争法》的有关规定接受处罚。</w:t>
      </w:r>
    </w:p>
    <w:p>
      <w:pPr>
        <w:adjustRightInd w:val="0"/>
        <w:snapToGrid w:val="0"/>
        <w:spacing w:line="440" w:lineRule="exact"/>
        <w:rPr>
          <w:rFonts w:ascii="宋体"/>
          <w:color w:val="000000"/>
          <w:sz w:val="24"/>
        </w:rPr>
      </w:pPr>
    </w:p>
    <w:p>
      <w:pPr>
        <w:adjustRightInd w:val="0"/>
        <w:snapToGrid w:val="0"/>
        <w:spacing w:line="440" w:lineRule="exact"/>
        <w:ind w:firstLine="3684" w:firstLineChars="1535"/>
        <w:rPr>
          <w:rFonts w:ascii="宋体"/>
          <w:color w:val="000000"/>
          <w:sz w:val="24"/>
        </w:rPr>
      </w:pPr>
      <w:r>
        <w:rPr>
          <w:rFonts w:hint="eastAsia" w:ascii="宋体"/>
          <w:color w:val="000000"/>
          <w:sz w:val="24"/>
        </w:rPr>
        <w:t>承诺企业名称（公章）：</w:t>
      </w:r>
      <w:r>
        <w:rPr>
          <w:rFonts w:hint="eastAsia" w:ascii="宋体"/>
          <w:color w:val="000000"/>
          <w:sz w:val="24"/>
          <w:u w:val="single"/>
        </w:rPr>
        <w:t xml:space="preserve">                   </w:t>
      </w:r>
    </w:p>
    <w:p>
      <w:pPr>
        <w:adjustRightInd w:val="0"/>
        <w:snapToGrid w:val="0"/>
        <w:spacing w:line="440" w:lineRule="exact"/>
        <w:ind w:firstLine="3684" w:firstLineChars="1535"/>
        <w:rPr>
          <w:rFonts w:ascii="宋体"/>
          <w:color w:val="000000"/>
          <w:sz w:val="24"/>
        </w:rPr>
      </w:pPr>
      <w:r>
        <w:rPr>
          <w:rFonts w:hint="eastAsia" w:ascii="宋体"/>
          <w:color w:val="000000"/>
          <w:sz w:val="24"/>
        </w:rPr>
        <w:t>法人代表或委托代理人（承诺人）：</w:t>
      </w:r>
      <w:r>
        <w:rPr>
          <w:rFonts w:hint="eastAsia" w:ascii="宋体"/>
          <w:color w:val="000000"/>
          <w:sz w:val="24"/>
          <w:u w:val="single"/>
        </w:rPr>
        <w:t xml:space="preserve">         </w:t>
      </w:r>
    </w:p>
    <w:p>
      <w:pPr>
        <w:spacing w:line="360" w:lineRule="auto"/>
        <w:ind w:firstLine="3684" w:firstLineChars="1535"/>
        <w:rPr>
          <w:sz w:val="28"/>
          <w:szCs w:val="28"/>
        </w:rPr>
      </w:pPr>
      <w:r>
        <w:rPr>
          <w:rFonts w:hint="eastAsia" w:ascii="宋体"/>
          <w:color w:val="000000"/>
          <w:sz w:val="24"/>
          <w:u w:val="single"/>
        </w:rPr>
        <w:t xml:space="preserve">      </w:t>
      </w:r>
      <w:r>
        <w:rPr>
          <w:rFonts w:hint="eastAsia" w:ascii="宋体"/>
          <w:color w:val="000000"/>
          <w:sz w:val="24"/>
        </w:rPr>
        <w:t>年</w:t>
      </w:r>
      <w:r>
        <w:rPr>
          <w:rFonts w:hint="eastAsia" w:ascii="宋体"/>
          <w:color w:val="000000"/>
          <w:sz w:val="24"/>
          <w:u w:val="single"/>
        </w:rPr>
        <w:t xml:space="preserve">     </w:t>
      </w:r>
      <w:r>
        <w:rPr>
          <w:rFonts w:hint="eastAsia" w:ascii="宋体"/>
          <w:color w:val="000000"/>
          <w:sz w:val="24"/>
        </w:rPr>
        <w:t>月</w:t>
      </w:r>
      <w:r>
        <w:rPr>
          <w:rFonts w:hint="eastAsia" w:ascii="宋体"/>
          <w:color w:val="000000"/>
          <w:sz w:val="24"/>
          <w:u w:val="single"/>
        </w:rPr>
        <w:t xml:space="preserve">     </w:t>
      </w:r>
      <w:r>
        <w:rPr>
          <w:rFonts w:hint="eastAsia" w:ascii="宋体"/>
          <w:color w:val="000000"/>
          <w:sz w:val="24"/>
        </w:rPr>
        <w:t>日</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jc w:val="center"/>
        <w:rPr>
          <w:rFonts w:ascii="宋体" w:hAnsi="宋体"/>
          <w:b/>
          <w:color w:val="000000"/>
          <w:sz w:val="32"/>
          <w:szCs w:val="32"/>
        </w:rPr>
      </w:pPr>
      <w:r>
        <w:rPr>
          <w:rFonts w:ascii="宋体" w:hAnsi="宋体"/>
          <w:b/>
          <w:color w:val="000000"/>
          <w:sz w:val="24"/>
        </w:rPr>
        <w:br w:type="page"/>
      </w:r>
      <w:r>
        <w:rPr>
          <w:rFonts w:hint="eastAsia" w:ascii="宋体" w:hAnsi="宋体"/>
          <w:b/>
          <w:color w:val="000000"/>
          <w:sz w:val="32"/>
          <w:szCs w:val="32"/>
        </w:rPr>
        <w:t>资格证明材料</w:t>
      </w:r>
    </w:p>
    <w:p>
      <w:pPr>
        <w:spacing w:line="360" w:lineRule="auto"/>
        <w:rPr>
          <w:rFonts w:ascii="宋体" w:hAnsi="宋体"/>
          <w:b/>
          <w:color w:val="000000"/>
          <w:sz w:val="24"/>
        </w:rPr>
      </w:pPr>
      <w:r>
        <w:rPr>
          <w:rFonts w:hint="eastAsia" w:ascii="宋体" w:hAnsi="宋体"/>
          <w:b/>
          <w:color w:val="000000"/>
          <w:sz w:val="24"/>
        </w:rPr>
        <w:t>材料内容包括：</w:t>
      </w:r>
    </w:p>
    <w:p>
      <w:pPr>
        <w:spacing w:line="360" w:lineRule="auto"/>
        <w:rPr>
          <w:rFonts w:ascii="宋体" w:hAnsi="宋体"/>
          <w:sz w:val="24"/>
          <w:szCs w:val="24"/>
        </w:rPr>
      </w:pPr>
      <w:r>
        <w:rPr>
          <w:rFonts w:hint="eastAsia" w:ascii="宋体" w:hAnsi="宋体"/>
          <w:b/>
          <w:color w:val="000000"/>
          <w:sz w:val="24"/>
        </w:rPr>
        <w:t>1、必须提供的：</w:t>
      </w:r>
      <w:r>
        <w:rPr>
          <w:rFonts w:hint="eastAsia" w:ascii="宋体" w:hAnsi="宋体"/>
          <w:sz w:val="24"/>
          <w:szCs w:val="24"/>
        </w:rPr>
        <w:t>统一信用代码的营业执照、银行开户许可证、</w:t>
      </w:r>
      <w:r>
        <w:rPr>
          <w:rFonts w:ascii="宋体" w:hAnsi="宋体"/>
          <w:sz w:val="24"/>
          <w:szCs w:val="24"/>
        </w:rPr>
        <w:t>企业资质等级证书（复印件）</w:t>
      </w:r>
      <w:r>
        <w:rPr>
          <w:rFonts w:hint="eastAsia" w:ascii="宋体" w:hAnsi="宋体"/>
          <w:sz w:val="24"/>
          <w:szCs w:val="24"/>
        </w:rPr>
        <w:t>、国家</w:t>
      </w:r>
      <w:r>
        <w:rPr>
          <w:rFonts w:ascii="宋体" w:hAnsi="宋体"/>
          <w:sz w:val="24"/>
          <w:szCs w:val="24"/>
        </w:rPr>
        <w:t>企业信用信息公示系统</w:t>
      </w:r>
      <w:r>
        <w:rPr>
          <w:rFonts w:hint="eastAsia" w:ascii="宋体" w:hAnsi="宋体"/>
          <w:sz w:val="24"/>
          <w:szCs w:val="24"/>
        </w:rPr>
        <w:t>和</w:t>
      </w:r>
      <w:r>
        <w:rPr>
          <w:rFonts w:ascii="宋体" w:hAnsi="宋体"/>
          <w:sz w:val="24"/>
          <w:szCs w:val="24"/>
        </w:rPr>
        <w:t>“信用中国”</w:t>
      </w:r>
      <w:r>
        <w:rPr>
          <w:rFonts w:hint="eastAsia" w:ascii="宋体" w:hAnsi="宋体"/>
          <w:sz w:val="24"/>
          <w:szCs w:val="24"/>
        </w:rPr>
        <w:t>网站查询截图、近三年内</w:t>
      </w:r>
      <w:r>
        <w:rPr>
          <w:rFonts w:hint="eastAsia" w:ascii="宋体" w:hAnsi="宋体"/>
          <w:color w:val="000000"/>
          <w:sz w:val="24"/>
          <w:szCs w:val="24"/>
        </w:rPr>
        <w:t>类似项目的业绩合同；</w:t>
      </w:r>
    </w:p>
    <w:p>
      <w:pPr>
        <w:adjustRightInd w:val="0"/>
        <w:snapToGrid w:val="0"/>
        <w:spacing w:line="440" w:lineRule="exact"/>
        <w:jc w:val="left"/>
        <w:rPr>
          <w:rFonts w:ascii="宋体" w:hAnsi="宋体"/>
          <w:sz w:val="24"/>
          <w:szCs w:val="24"/>
        </w:rPr>
      </w:pPr>
      <w:r>
        <w:rPr>
          <w:rFonts w:hint="eastAsia" w:ascii="宋体" w:hAnsi="宋体"/>
          <w:sz w:val="24"/>
          <w:szCs w:val="24"/>
        </w:rPr>
        <w:t>2、供应商认为有必要提供的其他资料：如：近三年审计报告及其附件、近年发生的诉讼及仲裁情况、一般纳税人认定证明、</w:t>
      </w:r>
      <w:bookmarkStart w:id="28" w:name="_Toc35957213"/>
      <w:bookmarkStart w:id="29" w:name="_Toc34779167"/>
      <w:bookmarkStart w:id="30" w:name="_Toc34779117"/>
      <w:bookmarkStart w:id="31" w:name="_Toc34822255"/>
      <w:bookmarkStart w:id="32" w:name="_Toc34779213"/>
      <w:r>
        <w:rPr>
          <w:rFonts w:hint="eastAsia" w:ascii="宋体" w:hAnsi="宋体"/>
          <w:sz w:val="24"/>
          <w:szCs w:val="24"/>
        </w:rPr>
        <w:t>3S体系认证（质量、环境、安全体系认证）及</w:t>
      </w:r>
      <w:bookmarkEnd w:id="28"/>
      <w:bookmarkEnd w:id="29"/>
      <w:bookmarkEnd w:id="30"/>
      <w:bookmarkEnd w:id="31"/>
      <w:bookmarkEnd w:id="32"/>
      <w:r>
        <w:rPr>
          <w:rFonts w:hint="eastAsia" w:ascii="宋体" w:hAnsi="宋体"/>
          <w:sz w:val="24"/>
          <w:szCs w:val="24"/>
        </w:rPr>
        <w:t>其它证明文件、专利证书、鉴定证书、获奖证书。（提供所有材料需加盖单位公章）。</w:t>
      </w:r>
    </w:p>
    <w:p>
      <w:pPr>
        <w:spacing w:line="360" w:lineRule="auto"/>
        <w:rPr>
          <w:rFonts w:ascii="宋体" w:hAnsi="宋体"/>
          <w:color w:val="000000"/>
          <w:sz w:val="24"/>
        </w:rPr>
      </w:pPr>
    </w:p>
    <w:p>
      <w:pPr>
        <w:widowControl/>
        <w:jc w:val="left"/>
        <w:rPr>
          <w:rFonts w:ascii="Cambria" w:hAnsi="Cambria"/>
          <w:b/>
          <w:bCs/>
          <w:sz w:val="32"/>
          <w:szCs w:val="32"/>
        </w:rPr>
      </w:pPr>
      <w:r>
        <w:br w:type="page"/>
      </w:r>
    </w:p>
    <w:p>
      <w:pPr>
        <w:pStyle w:val="7"/>
        <w:spacing w:line="240" w:lineRule="auto"/>
        <w:ind w:firstLine="643" w:firstLineChars="200"/>
        <w:jc w:val="center"/>
      </w:pPr>
      <w:r>
        <w:rPr>
          <w:rFonts w:hint="eastAsia"/>
        </w:rPr>
        <w:t>近三年完成的类似项目情况统计表</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1559"/>
        <w:gridCol w:w="2268"/>
        <w:gridCol w:w="224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1" w:type="pct"/>
            <w:vAlign w:val="center"/>
          </w:tcPr>
          <w:p>
            <w:pPr>
              <w:autoSpaceDE w:val="0"/>
              <w:autoSpaceDN w:val="0"/>
              <w:adjustRightInd w:val="0"/>
              <w:snapToGrid w:val="0"/>
              <w:jc w:val="center"/>
            </w:pPr>
            <w:r>
              <w:t>项目名称</w:t>
            </w:r>
          </w:p>
        </w:tc>
        <w:tc>
          <w:tcPr>
            <w:tcW w:w="914" w:type="pct"/>
            <w:vAlign w:val="center"/>
          </w:tcPr>
          <w:p>
            <w:pPr>
              <w:autoSpaceDE w:val="0"/>
              <w:autoSpaceDN w:val="0"/>
              <w:adjustRightInd w:val="0"/>
              <w:snapToGrid w:val="0"/>
              <w:ind w:left="-27" w:leftChars="-13"/>
              <w:jc w:val="center"/>
            </w:pPr>
            <w:r>
              <w:t>项目所在地</w:t>
            </w:r>
          </w:p>
        </w:tc>
        <w:tc>
          <w:tcPr>
            <w:tcW w:w="1330" w:type="pct"/>
            <w:vAlign w:val="center"/>
          </w:tcPr>
          <w:p>
            <w:pPr>
              <w:autoSpaceDE w:val="0"/>
              <w:autoSpaceDN w:val="0"/>
              <w:adjustRightInd w:val="0"/>
              <w:snapToGrid w:val="0"/>
              <w:jc w:val="center"/>
            </w:pPr>
            <w:r>
              <w:t>发包人名称</w:t>
            </w:r>
          </w:p>
        </w:tc>
        <w:tc>
          <w:tcPr>
            <w:tcW w:w="1316" w:type="pct"/>
            <w:vAlign w:val="center"/>
          </w:tcPr>
          <w:p>
            <w:pPr>
              <w:autoSpaceDE w:val="0"/>
              <w:autoSpaceDN w:val="0"/>
              <w:adjustRightInd w:val="0"/>
              <w:snapToGrid w:val="0"/>
              <w:jc w:val="center"/>
            </w:pPr>
            <w:r>
              <w:t>发包人</w:t>
            </w:r>
            <w:r>
              <w:rPr>
                <w:rFonts w:hint="eastAsia"/>
              </w:rPr>
              <w:t>联系人</w:t>
            </w:r>
            <w:r>
              <w:t>电话</w:t>
            </w:r>
          </w:p>
        </w:tc>
        <w:tc>
          <w:tcPr>
            <w:tcW w:w="629" w:type="pct"/>
            <w:vAlign w:val="center"/>
          </w:tcPr>
          <w:p>
            <w:pPr>
              <w:autoSpaceDE w:val="0"/>
              <w:autoSpaceDN w:val="0"/>
              <w:adjustRightInd w:val="0"/>
              <w:snapToGrid w:val="0"/>
              <w:jc w:val="center"/>
            </w:pPr>
            <w:r>
              <w:t>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11" w:type="pct"/>
            <w:vAlign w:val="center"/>
          </w:tcPr>
          <w:p>
            <w:pPr>
              <w:autoSpaceDE w:val="0"/>
              <w:autoSpaceDN w:val="0"/>
              <w:adjustRightInd w:val="0"/>
              <w:snapToGrid w:val="0"/>
              <w:ind w:firstLine="42" w:firstLineChars="20"/>
              <w:jc w:val="center"/>
              <w:rPr>
                <w:b/>
              </w:rPr>
            </w:pPr>
          </w:p>
        </w:tc>
        <w:tc>
          <w:tcPr>
            <w:tcW w:w="914" w:type="pct"/>
            <w:vAlign w:val="center"/>
          </w:tcPr>
          <w:p>
            <w:pPr>
              <w:autoSpaceDE w:val="0"/>
              <w:autoSpaceDN w:val="0"/>
              <w:adjustRightInd w:val="0"/>
              <w:snapToGrid w:val="0"/>
              <w:ind w:firstLine="42" w:firstLineChars="20"/>
              <w:jc w:val="center"/>
              <w:rPr>
                <w:b/>
              </w:rPr>
            </w:pPr>
          </w:p>
        </w:tc>
        <w:tc>
          <w:tcPr>
            <w:tcW w:w="1330" w:type="pct"/>
            <w:vAlign w:val="center"/>
          </w:tcPr>
          <w:p>
            <w:pPr>
              <w:autoSpaceDE w:val="0"/>
              <w:autoSpaceDN w:val="0"/>
              <w:adjustRightInd w:val="0"/>
              <w:snapToGrid w:val="0"/>
              <w:ind w:firstLine="42" w:firstLineChars="20"/>
              <w:jc w:val="center"/>
              <w:rPr>
                <w:b/>
              </w:rPr>
            </w:pPr>
          </w:p>
        </w:tc>
        <w:tc>
          <w:tcPr>
            <w:tcW w:w="1316" w:type="pct"/>
            <w:vAlign w:val="center"/>
          </w:tcPr>
          <w:p>
            <w:pPr>
              <w:autoSpaceDE w:val="0"/>
              <w:autoSpaceDN w:val="0"/>
              <w:adjustRightInd w:val="0"/>
              <w:snapToGrid w:val="0"/>
              <w:ind w:firstLine="42" w:firstLineChars="20"/>
              <w:jc w:val="center"/>
              <w:rPr>
                <w:b/>
              </w:rPr>
            </w:pPr>
          </w:p>
        </w:tc>
        <w:tc>
          <w:tcPr>
            <w:tcW w:w="629" w:type="pct"/>
            <w:vAlign w:val="center"/>
          </w:tcPr>
          <w:p>
            <w:pPr>
              <w:autoSpaceDE w:val="0"/>
              <w:autoSpaceDN w:val="0"/>
              <w:adjustRightInd w:val="0"/>
              <w:snapToGrid w:val="0"/>
              <w:ind w:firstLine="42" w:firstLineChars="20"/>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11" w:type="pct"/>
            <w:vAlign w:val="center"/>
          </w:tcPr>
          <w:p>
            <w:pPr>
              <w:autoSpaceDE w:val="0"/>
              <w:autoSpaceDN w:val="0"/>
              <w:adjustRightInd w:val="0"/>
              <w:snapToGrid w:val="0"/>
              <w:ind w:firstLine="42" w:firstLineChars="20"/>
              <w:jc w:val="center"/>
            </w:pPr>
          </w:p>
        </w:tc>
        <w:tc>
          <w:tcPr>
            <w:tcW w:w="914" w:type="pct"/>
            <w:vAlign w:val="center"/>
          </w:tcPr>
          <w:p>
            <w:pPr>
              <w:autoSpaceDE w:val="0"/>
              <w:autoSpaceDN w:val="0"/>
              <w:adjustRightInd w:val="0"/>
              <w:snapToGrid w:val="0"/>
              <w:ind w:firstLine="42" w:firstLineChars="20"/>
              <w:jc w:val="center"/>
              <w:rPr>
                <w:b/>
              </w:rPr>
            </w:pPr>
          </w:p>
        </w:tc>
        <w:tc>
          <w:tcPr>
            <w:tcW w:w="1330" w:type="pct"/>
            <w:vAlign w:val="center"/>
          </w:tcPr>
          <w:p>
            <w:pPr>
              <w:autoSpaceDE w:val="0"/>
              <w:autoSpaceDN w:val="0"/>
              <w:adjustRightInd w:val="0"/>
              <w:snapToGrid w:val="0"/>
              <w:ind w:firstLine="42" w:firstLineChars="20"/>
              <w:jc w:val="center"/>
              <w:rPr>
                <w:b/>
              </w:rPr>
            </w:pPr>
          </w:p>
        </w:tc>
        <w:tc>
          <w:tcPr>
            <w:tcW w:w="1316" w:type="pct"/>
            <w:vAlign w:val="center"/>
          </w:tcPr>
          <w:p>
            <w:pPr>
              <w:autoSpaceDE w:val="0"/>
              <w:autoSpaceDN w:val="0"/>
              <w:adjustRightInd w:val="0"/>
              <w:snapToGrid w:val="0"/>
              <w:ind w:firstLine="42" w:firstLineChars="20"/>
              <w:jc w:val="center"/>
              <w:rPr>
                <w:b/>
              </w:rPr>
            </w:pPr>
          </w:p>
        </w:tc>
        <w:tc>
          <w:tcPr>
            <w:tcW w:w="629" w:type="pct"/>
            <w:vAlign w:val="center"/>
          </w:tcPr>
          <w:p>
            <w:pPr>
              <w:autoSpaceDE w:val="0"/>
              <w:autoSpaceDN w:val="0"/>
              <w:adjustRightInd w:val="0"/>
              <w:snapToGrid w:val="0"/>
              <w:ind w:firstLine="42" w:firstLineChars="20"/>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11" w:type="pct"/>
            <w:vAlign w:val="center"/>
          </w:tcPr>
          <w:p>
            <w:pPr>
              <w:autoSpaceDE w:val="0"/>
              <w:autoSpaceDN w:val="0"/>
              <w:adjustRightInd w:val="0"/>
              <w:snapToGrid w:val="0"/>
              <w:ind w:firstLine="42" w:firstLineChars="20"/>
              <w:jc w:val="center"/>
            </w:pPr>
          </w:p>
        </w:tc>
        <w:tc>
          <w:tcPr>
            <w:tcW w:w="914" w:type="pct"/>
            <w:vAlign w:val="center"/>
          </w:tcPr>
          <w:p>
            <w:pPr>
              <w:autoSpaceDE w:val="0"/>
              <w:autoSpaceDN w:val="0"/>
              <w:adjustRightInd w:val="0"/>
              <w:snapToGrid w:val="0"/>
              <w:ind w:firstLine="42" w:firstLineChars="20"/>
              <w:jc w:val="center"/>
              <w:rPr>
                <w:b/>
              </w:rPr>
            </w:pPr>
          </w:p>
        </w:tc>
        <w:tc>
          <w:tcPr>
            <w:tcW w:w="1330" w:type="pct"/>
            <w:vAlign w:val="center"/>
          </w:tcPr>
          <w:p>
            <w:pPr>
              <w:autoSpaceDE w:val="0"/>
              <w:autoSpaceDN w:val="0"/>
              <w:adjustRightInd w:val="0"/>
              <w:snapToGrid w:val="0"/>
              <w:ind w:firstLine="42" w:firstLineChars="20"/>
              <w:jc w:val="center"/>
              <w:rPr>
                <w:b/>
              </w:rPr>
            </w:pPr>
          </w:p>
        </w:tc>
        <w:tc>
          <w:tcPr>
            <w:tcW w:w="1316" w:type="pct"/>
            <w:vAlign w:val="center"/>
          </w:tcPr>
          <w:p>
            <w:pPr>
              <w:autoSpaceDE w:val="0"/>
              <w:autoSpaceDN w:val="0"/>
              <w:adjustRightInd w:val="0"/>
              <w:snapToGrid w:val="0"/>
              <w:ind w:firstLine="42" w:firstLineChars="20"/>
              <w:jc w:val="center"/>
              <w:rPr>
                <w:b/>
              </w:rPr>
            </w:pPr>
          </w:p>
        </w:tc>
        <w:tc>
          <w:tcPr>
            <w:tcW w:w="629" w:type="pct"/>
            <w:vAlign w:val="center"/>
          </w:tcPr>
          <w:p>
            <w:pPr>
              <w:autoSpaceDE w:val="0"/>
              <w:autoSpaceDN w:val="0"/>
              <w:adjustRightInd w:val="0"/>
              <w:snapToGrid w:val="0"/>
              <w:ind w:firstLine="42" w:firstLineChars="20"/>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11" w:type="pct"/>
            <w:vAlign w:val="center"/>
          </w:tcPr>
          <w:p>
            <w:pPr>
              <w:autoSpaceDE w:val="0"/>
              <w:autoSpaceDN w:val="0"/>
              <w:adjustRightInd w:val="0"/>
              <w:snapToGrid w:val="0"/>
              <w:ind w:firstLine="42" w:firstLineChars="20"/>
              <w:jc w:val="center"/>
            </w:pPr>
          </w:p>
        </w:tc>
        <w:tc>
          <w:tcPr>
            <w:tcW w:w="914" w:type="pct"/>
            <w:vAlign w:val="center"/>
          </w:tcPr>
          <w:p>
            <w:pPr>
              <w:autoSpaceDE w:val="0"/>
              <w:autoSpaceDN w:val="0"/>
              <w:adjustRightInd w:val="0"/>
              <w:snapToGrid w:val="0"/>
              <w:ind w:firstLine="42" w:firstLineChars="20"/>
              <w:jc w:val="center"/>
              <w:rPr>
                <w:b/>
              </w:rPr>
            </w:pPr>
          </w:p>
        </w:tc>
        <w:tc>
          <w:tcPr>
            <w:tcW w:w="1330" w:type="pct"/>
            <w:vAlign w:val="center"/>
          </w:tcPr>
          <w:p>
            <w:pPr>
              <w:autoSpaceDE w:val="0"/>
              <w:autoSpaceDN w:val="0"/>
              <w:adjustRightInd w:val="0"/>
              <w:snapToGrid w:val="0"/>
              <w:ind w:firstLine="42" w:firstLineChars="20"/>
              <w:jc w:val="center"/>
              <w:rPr>
                <w:b/>
              </w:rPr>
            </w:pPr>
          </w:p>
        </w:tc>
        <w:tc>
          <w:tcPr>
            <w:tcW w:w="1316" w:type="pct"/>
            <w:vAlign w:val="center"/>
          </w:tcPr>
          <w:p>
            <w:pPr>
              <w:autoSpaceDE w:val="0"/>
              <w:autoSpaceDN w:val="0"/>
              <w:adjustRightInd w:val="0"/>
              <w:snapToGrid w:val="0"/>
              <w:ind w:firstLine="42" w:firstLineChars="20"/>
              <w:jc w:val="center"/>
              <w:rPr>
                <w:b/>
              </w:rPr>
            </w:pPr>
          </w:p>
        </w:tc>
        <w:tc>
          <w:tcPr>
            <w:tcW w:w="629" w:type="pct"/>
            <w:vAlign w:val="center"/>
          </w:tcPr>
          <w:p>
            <w:pPr>
              <w:autoSpaceDE w:val="0"/>
              <w:autoSpaceDN w:val="0"/>
              <w:adjustRightInd w:val="0"/>
              <w:snapToGrid w:val="0"/>
              <w:ind w:firstLine="42" w:firstLineChars="20"/>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1" w:type="pct"/>
            <w:vAlign w:val="center"/>
          </w:tcPr>
          <w:p>
            <w:pPr>
              <w:autoSpaceDE w:val="0"/>
              <w:autoSpaceDN w:val="0"/>
              <w:adjustRightInd w:val="0"/>
              <w:snapToGrid w:val="0"/>
              <w:ind w:firstLine="42" w:firstLineChars="20"/>
              <w:jc w:val="center"/>
            </w:pPr>
          </w:p>
        </w:tc>
        <w:tc>
          <w:tcPr>
            <w:tcW w:w="914" w:type="pct"/>
            <w:vAlign w:val="center"/>
          </w:tcPr>
          <w:p>
            <w:pPr>
              <w:autoSpaceDE w:val="0"/>
              <w:autoSpaceDN w:val="0"/>
              <w:adjustRightInd w:val="0"/>
              <w:snapToGrid w:val="0"/>
              <w:ind w:firstLine="42" w:firstLineChars="20"/>
              <w:jc w:val="center"/>
              <w:rPr>
                <w:b/>
              </w:rPr>
            </w:pPr>
          </w:p>
        </w:tc>
        <w:tc>
          <w:tcPr>
            <w:tcW w:w="1330" w:type="pct"/>
            <w:vAlign w:val="center"/>
          </w:tcPr>
          <w:p>
            <w:pPr>
              <w:autoSpaceDE w:val="0"/>
              <w:autoSpaceDN w:val="0"/>
              <w:adjustRightInd w:val="0"/>
              <w:snapToGrid w:val="0"/>
              <w:ind w:firstLine="42" w:firstLineChars="20"/>
              <w:jc w:val="center"/>
              <w:rPr>
                <w:b/>
              </w:rPr>
            </w:pPr>
          </w:p>
        </w:tc>
        <w:tc>
          <w:tcPr>
            <w:tcW w:w="1316" w:type="pct"/>
            <w:vAlign w:val="center"/>
          </w:tcPr>
          <w:p>
            <w:pPr>
              <w:autoSpaceDE w:val="0"/>
              <w:autoSpaceDN w:val="0"/>
              <w:adjustRightInd w:val="0"/>
              <w:snapToGrid w:val="0"/>
              <w:ind w:firstLine="42" w:firstLineChars="20"/>
              <w:jc w:val="center"/>
              <w:rPr>
                <w:b/>
              </w:rPr>
            </w:pPr>
          </w:p>
        </w:tc>
        <w:tc>
          <w:tcPr>
            <w:tcW w:w="629" w:type="pct"/>
            <w:vAlign w:val="center"/>
          </w:tcPr>
          <w:p>
            <w:pPr>
              <w:autoSpaceDE w:val="0"/>
              <w:autoSpaceDN w:val="0"/>
              <w:adjustRightInd w:val="0"/>
              <w:snapToGrid w:val="0"/>
              <w:ind w:firstLine="42" w:firstLineChars="20"/>
              <w:jc w:val="center"/>
              <w:rPr>
                <w:b/>
              </w:rPr>
            </w:pPr>
          </w:p>
        </w:tc>
      </w:tr>
    </w:tbl>
    <w:p>
      <w:pPr>
        <w:autoSpaceDE w:val="0"/>
        <w:autoSpaceDN w:val="0"/>
        <w:adjustRightInd w:val="0"/>
        <w:snapToGrid w:val="0"/>
        <w:ind w:firstLine="420" w:firstLineChars="200"/>
        <w:jc w:val="left"/>
      </w:pPr>
    </w:p>
    <w:p>
      <w:pPr>
        <w:autoSpaceDE w:val="0"/>
        <w:autoSpaceDN w:val="0"/>
        <w:adjustRightInd w:val="0"/>
        <w:snapToGrid w:val="0"/>
        <w:ind w:firstLine="482" w:firstLineChars="200"/>
        <w:jc w:val="left"/>
        <w:rPr>
          <w:b/>
          <w:sz w:val="24"/>
        </w:rPr>
      </w:pPr>
      <w:r>
        <w:rPr>
          <w:rFonts w:hint="eastAsia"/>
          <w:b/>
          <w:sz w:val="24"/>
        </w:rPr>
        <w:t>后附合同复印件</w:t>
      </w:r>
    </w:p>
    <w:p>
      <w:pPr>
        <w:pStyle w:val="25"/>
        <w:rPr>
          <w:rFonts w:ascii="黑体" w:hAnsi="黑体" w:eastAsia="黑体"/>
          <w:sz w:val="32"/>
          <w:szCs w:val="32"/>
        </w:rPr>
      </w:pPr>
    </w:p>
    <w:p>
      <w:pPr>
        <w:widowControl/>
        <w:jc w:val="left"/>
        <w:rPr>
          <w:rFonts w:ascii="黑体" w:hAnsi="黑体" w:eastAsia="黑体"/>
          <w:sz w:val="32"/>
          <w:szCs w:val="32"/>
        </w:rPr>
      </w:pPr>
      <w:r>
        <w:rPr>
          <w:b/>
          <w:sz w:val="44"/>
          <w:szCs w:val="28"/>
        </w:rPr>
        <w:br w:type="page"/>
      </w:r>
    </w:p>
    <w:p>
      <w:pPr>
        <w:spacing w:line="360" w:lineRule="auto"/>
        <w:jc w:val="center"/>
        <w:rPr>
          <w:b/>
          <w:sz w:val="32"/>
          <w:szCs w:val="32"/>
        </w:rPr>
      </w:pPr>
      <w:r>
        <w:rPr>
          <w:rFonts w:hint="eastAsia"/>
          <w:b/>
          <w:sz w:val="32"/>
          <w:szCs w:val="32"/>
        </w:rPr>
        <w:t>项目实施方案</w:t>
      </w:r>
    </w:p>
    <w:p>
      <w:pPr>
        <w:pStyle w:val="295"/>
        <w:spacing w:line="443" w:lineRule="exact"/>
        <w:ind w:left="0" w:firstLine="482" w:firstLineChars="200"/>
        <w:outlineLvl w:val="3"/>
        <w:rPr>
          <w:rFonts w:ascii="宋体" w:hAnsi="宋体"/>
          <w:b/>
          <w:bCs/>
          <w:sz w:val="24"/>
          <w:szCs w:val="22"/>
        </w:rPr>
      </w:pPr>
      <w:r>
        <w:rPr>
          <w:rFonts w:hint="eastAsia" w:ascii="宋体" w:hAnsi="宋体"/>
          <w:b/>
          <w:sz w:val="24"/>
          <w:szCs w:val="22"/>
        </w:rPr>
        <w:t>内容应至少包括针对本</w:t>
      </w:r>
      <w:r>
        <w:rPr>
          <w:rFonts w:hint="eastAsia" w:ascii="宋体" w:hAnsi="宋体" w:cs="宋体"/>
          <w:b/>
          <w:kern w:val="0"/>
          <w:sz w:val="24"/>
        </w:rPr>
        <w:t>项目实</w:t>
      </w:r>
      <w:r>
        <w:rPr>
          <w:rFonts w:hint="eastAsia" w:ascii="宋体" w:hAnsi="宋体"/>
          <w:b/>
          <w:sz w:val="24"/>
          <w:szCs w:val="22"/>
        </w:rPr>
        <w:t>施方案</w:t>
      </w:r>
      <w:r>
        <w:rPr>
          <w:rFonts w:hint="eastAsia" w:ascii="宋体" w:hAnsi="宋体"/>
          <w:b/>
          <w:sz w:val="24"/>
          <w:szCs w:val="22"/>
          <w:lang w:eastAsia="zh-CN"/>
        </w:rPr>
        <w:t>（检测点位设置、频次）</w:t>
      </w:r>
      <w:r>
        <w:rPr>
          <w:rFonts w:ascii="宋体" w:hAnsi="宋体"/>
          <w:b/>
          <w:sz w:val="24"/>
          <w:szCs w:val="22"/>
        </w:rPr>
        <w:t>与</w:t>
      </w:r>
      <w:r>
        <w:rPr>
          <w:rFonts w:hint="eastAsia" w:ascii="宋体" w:hAnsi="宋体"/>
          <w:b/>
          <w:sz w:val="24"/>
          <w:szCs w:val="22"/>
        </w:rPr>
        <w:t>工作方法，工作重点和难点及针对措施,</w:t>
      </w:r>
      <w:r>
        <w:rPr>
          <w:rFonts w:ascii="宋体" w:hAnsi="宋体"/>
          <w:b/>
          <w:sz w:val="24"/>
          <w:szCs w:val="22"/>
        </w:rPr>
        <w:t>项目</w:t>
      </w:r>
      <w:r>
        <w:rPr>
          <w:rFonts w:hint="eastAsia" w:ascii="宋体" w:hAnsi="宋体"/>
          <w:b/>
          <w:sz w:val="24"/>
          <w:szCs w:val="22"/>
        </w:rPr>
        <w:t>负责人及专业人员配置情况，进</w:t>
      </w:r>
      <w:r>
        <w:rPr>
          <w:rFonts w:ascii="宋体" w:hAnsi="宋体" w:cs="宋体"/>
          <w:b/>
          <w:kern w:val="0"/>
          <w:sz w:val="24"/>
        </w:rPr>
        <w:t>度计划与措施</w:t>
      </w:r>
      <w:r>
        <w:rPr>
          <w:rFonts w:hint="eastAsia" w:ascii="宋体" w:hAnsi="宋体"/>
          <w:b/>
          <w:sz w:val="24"/>
          <w:szCs w:val="22"/>
        </w:rPr>
        <w:t>，服务及售后承诺等其他资料。由供应商自行编制。</w:t>
      </w:r>
    </w:p>
    <w:p>
      <w:pPr>
        <w:widowControl/>
        <w:jc w:val="left"/>
        <w:rPr>
          <w:b/>
          <w:color w:val="FF0000"/>
          <w:sz w:val="44"/>
          <w:szCs w:val="28"/>
        </w:rPr>
      </w:pPr>
    </w:p>
    <w:p>
      <w:pPr>
        <w:widowControl/>
        <w:jc w:val="left"/>
        <w:rPr>
          <w:rFonts w:ascii="宋体" w:hAnsi="宋体"/>
          <w:b/>
          <w:sz w:val="24"/>
        </w:rPr>
      </w:pPr>
    </w:p>
    <w:p>
      <w:pPr>
        <w:widowControl/>
        <w:jc w:val="left"/>
        <w:rPr>
          <w:b/>
          <w:sz w:val="44"/>
          <w:szCs w:val="28"/>
        </w:rPr>
      </w:pPr>
    </w:p>
    <w:p/>
    <w:sectPr>
      <w:pgSz w:w="11906" w:h="16838"/>
      <w:pgMar w:top="1134" w:right="1797" w:bottom="1440" w:left="1797"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System">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lbertus Medium">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昆仑楷体">
    <w:altName w:val="黑体"/>
    <w:panose1 w:val="00000000000000000000"/>
    <w:charset w:val="86"/>
    <w:family w:val="modern"/>
    <w:pitch w:val="default"/>
    <w:sig w:usb0="00000000" w:usb1="00000000" w:usb2="00000010" w:usb3="00000000" w:csb0="00040000" w:csb1="00000000"/>
  </w:font>
  <w:font w:name="昆仑细圆">
    <w:altName w:val="黑体"/>
    <w:panose1 w:val="00000000000000000000"/>
    <w:charset w:val="86"/>
    <w:family w:val="modern"/>
    <w:pitch w:val="default"/>
    <w:sig w:usb0="00000000" w:usb1="00000000" w:usb2="00000010" w:usb3="00000000" w:csb0="00040000" w:csb1="00000000"/>
  </w:font>
  <w:font w:name="E-F1">
    <w:altName w:val="宋体"/>
    <w:panose1 w:val="00000000000000000000"/>
    <w:charset w:val="86"/>
    <w:family w:val="roman"/>
    <w:pitch w:val="default"/>
    <w:sig w:usb0="00000000" w:usb1="00000000" w:usb2="00000010" w:usb3="00000000" w:csb0="00040000"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26</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80799"/>
      <w:docPartObj>
        <w:docPartGallery w:val="autotext"/>
      </w:docPartObj>
    </w:sdtPr>
    <w:sdtContent>
      <w:p>
        <w:pPr>
          <w:pStyle w:val="36"/>
          <w:jc w:val="center"/>
        </w:pPr>
        <w:r>
          <w:fldChar w:fldCharType="begin"/>
        </w:r>
        <w:r>
          <w:instrText xml:space="preserve"> PAGE   \* MERGEFORMAT </w:instrText>
        </w:r>
        <w:r>
          <w:fldChar w:fldCharType="separate"/>
        </w:r>
        <w:r>
          <w:rPr>
            <w:lang w:val="zh-CN"/>
          </w:rPr>
          <w:t>42</w:t>
        </w:r>
        <w:r>
          <w:rPr>
            <w:lang w:val="zh-CN"/>
          </w:rPr>
          <w:fldChar w:fldCharType="end"/>
        </w:r>
      </w:p>
    </w:sdtContent>
  </w:sdt>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clear" w:pos="4153"/>
        <w:tab w:val="clear" w:pos="8306"/>
      </w:tabs>
      <w:jc w:val="left"/>
      <w:rPr>
        <w:rFonts w:ascii="宋体" w:hAnsi="宋体"/>
        <w:b/>
      </w:rPr>
    </w:pPr>
    <w:r>
      <w:rPr>
        <w:rFonts w:hint="eastAsia" w:ascii="宋体" w:hAnsi="宋体"/>
        <w:b/>
      </w:rPr>
      <w:t xml:space="preserve">包头铝业有限公司                                                                   采购文件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clear" w:pos="4153"/>
        <w:tab w:val="clear" w:pos="8306"/>
      </w:tabs>
      <w:rPr>
        <w:rFonts w:ascii="宋体" w:hAnsi="宋体"/>
        <w:b/>
      </w:rPr>
    </w:pPr>
    <w:r>
      <w:rPr>
        <w:rFonts w:hint="eastAsia" w:ascii="宋体" w:hAnsi="宋体"/>
        <w:b/>
      </w:rPr>
      <w:t>包头铝业有限公司                                                                   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8666F"/>
    <w:multiLevelType w:val="singleLevel"/>
    <w:tmpl w:val="95D8666F"/>
    <w:lvl w:ilvl="0" w:tentative="0">
      <w:start w:val="1"/>
      <w:numFmt w:val="chineseCounting"/>
      <w:suff w:val="nothing"/>
      <w:lvlText w:val="%1、"/>
      <w:lvlJc w:val="left"/>
      <w:rPr>
        <w:rFonts w:hint="eastAsia"/>
      </w:rPr>
    </w:lvl>
  </w:abstractNum>
  <w:abstractNum w:abstractNumId="1">
    <w:nsid w:val="B3FAF5E5"/>
    <w:multiLevelType w:val="singleLevel"/>
    <w:tmpl w:val="B3FAF5E5"/>
    <w:lvl w:ilvl="0" w:tentative="0">
      <w:start w:val="1"/>
      <w:numFmt w:val="decimal"/>
      <w:suff w:val="nothing"/>
      <w:lvlText w:val="%1、"/>
      <w:lvlJc w:val="left"/>
    </w:lvl>
  </w:abstractNum>
  <w:abstractNum w:abstractNumId="2">
    <w:nsid w:val="00000011"/>
    <w:multiLevelType w:val="multilevel"/>
    <w:tmpl w:val="00000011"/>
    <w:lvl w:ilvl="0" w:tentative="0">
      <w:start w:val="1"/>
      <w:numFmt w:val="upperLetter"/>
      <w:lvlText w:val="%1、"/>
      <w:lvlJc w:val="left"/>
      <w:pPr>
        <w:tabs>
          <w:tab w:val="left" w:pos="780"/>
        </w:tabs>
        <w:ind w:left="780" w:hanging="360"/>
      </w:pPr>
      <w:rPr>
        <w:rFonts w:hint="eastAsia"/>
      </w:rPr>
    </w:lvl>
    <w:lvl w:ilvl="1" w:tentative="0">
      <w:start w:val="1"/>
      <w:numFmt w:val="lowerLetter"/>
      <w:pStyle w:val="227"/>
      <w:lvlText w:val="%2)"/>
      <w:lvlJc w:val="left"/>
      <w:pPr>
        <w:tabs>
          <w:tab w:val="left" w:pos="1260"/>
        </w:tabs>
        <w:ind w:left="1260" w:hanging="420"/>
      </w:pPr>
    </w:lvl>
    <w:lvl w:ilvl="2" w:tentative="0">
      <w:start w:val="1"/>
      <w:numFmt w:val="lowerRoman"/>
      <w:pStyle w:val="226"/>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2EE44D5"/>
    <w:multiLevelType w:val="singleLevel"/>
    <w:tmpl w:val="02EE44D5"/>
    <w:lvl w:ilvl="0" w:tentative="0">
      <w:start w:val="1"/>
      <w:numFmt w:val="decimal"/>
      <w:suff w:val="nothing"/>
      <w:lvlText w:val="%1、"/>
      <w:lvlJc w:val="left"/>
    </w:lvl>
  </w:abstractNum>
  <w:abstractNum w:abstractNumId="4">
    <w:nsid w:val="23A77F1A"/>
    <w:multiLevelType w:val="multilevel"/>
    <w:tmpl w:val="23A77F1A"/>
    <w:lvl w:ilvl="0" w:tentative="0">
      <w:start w:val="1"/>
      <w:numFmt w:val="decimal"/>
      <w:pStyle w:val="212"/>
      <w:lvlText w:val="%1)"/>
      <w:lvlJc w:val="left"/>
      <w:pPr>
        <w:tabs>
          <w:tab w:val="left" w:pos="1680"/>
        </w:tabs>
        <w:ind w:left="16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74620B7"/>
    <w:multiLevelType w:val="singleLevel"/>
    <w:tmpl w:val="274620B7"/>
    <w:lvl w:ilvl="0" w:tentative="0">
      <w:start w:val="1"/>
      <w:numFmt w:val="decimal"/>
      <w:suff w:val="nothing"/>
      <w:lvlText w:val="%1、"/>
      <w:lvlJc w:val="left"/>
    </w:lvl>
  </w:abstractNum>
  <w:abstractNum w:abstractNumId="6">
    <w:nsid w:val="2C631CD2"/>
    <w:multiLevelType w:val="multilevel"/>
    <w:tmpl w:val="2C631CD2"/>
    <w:lvl w:ilvl="0" w:tentative="0">
      <w:start w:val="1"/>
      <w:numFmt w:val="decimal"/>
      <w:lvlText w:val="%1、"/>
      <w:lvlJc w:val="left"/>
      <w:pPr>
        <w:tabs>
          <w:tab w:val="left" w:pos="1280"/>
        </w:tabs>
        <w:ind w:left="1280" w:hanging="72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7">
    <w:nsid w:val="2F424487"/>
    <w:multiLevelType w:val="multilevel"/>
    <w:tmpl w:val="2F424487"/>
    <w:lvl w:ilvl="0" w:tentative="0">
      <w:start w:val="1"/>
      <w:numFmt w:val="chineseCountingThousand"/>
      <w:pStyle w:val="271"/>
      <w:lvlText w:val="第%1部分"/>
      <w:lvlJc w:val="left"/>
      <w:pPr>
        <w:ind w:left="850" w:hanging="425"/>
      </w:pPr>
      <w:rPr>
        <w:rFonts w:hint="eastAsia"/>
      </w:rPr>
    </w:lvl>
    <w:lvl w:ilvl="1" w:tentative="0">
      <w:start w:val="1"/>
      <w:numFmt w:val="decimal"/>
      <w:pStyle w:val="267"/>
      <w:isLgl/>
      <w:lvlText w:val="%1.%2"/>
      <w:lvlJc w:val="left"/>
      <w:pPr>
        <w:ind w:left="425" w:firstLine="0"/>
      </w:pPr>
      <w:rPr>
        <w:rFonts w:hint="eastAsia"/>
      </w:rPr>
    </w:lvl>
    <w:lvl w:ilvl="2" w:tentative="0">
      <w:start w:val="1"/>
      <w:numFmt w:val="decimal"/>
      <w:pStyle w:val="268"/>
      <w:isLgl/>
      <w:lvlText w:val="%1.%2.%3"/>
      <w:lvlJc w:val="left"/>
      <w:pPr>
        <w:ind w:left="425" w:firstLine="0"/>
      </w:pPr>
      <w:rPr>
        <w:rFonts w:hint="eastAsia" w:ascii="宋体" w:hAnsi="宋体" w:eastAsia="宋体" w:cs="Times New Roman"/>
        <w:b w:val="0"/>
        <w:bCs w:val="0"/>
        <w:i w:val="0"/>
        <w:iCs w:val="0"/>
        <w:caps w:val="0"/>
        <w:smallCaps w:val="0"/>
        <w:strike w:val="0"/>
        <w:dstrike w:val="0"/>
        <w:vanish w:val="0"/>
        <w:color w:val="000000"/>
        <w:spacing w:val="0"/>
        <w:position w:val="0"/>
        <w:sz w:val="28"/>
        <w:szCs w:val="28"/>
        <w:u w:val="none"/>
        <w:vertAlign w:val="baseline"/>
      </w:rPr>
    </w:lvl>
    <w:lvl w:ilvl="3" w:tentative="0">
      <w:start w:val="1"/>
      <w:numFmt w:val="decimal"/>
      <w:pStyle w:val="269"/>
      <w:isLgl/>
      <w:lvlText w:val="%1.%2.%3.%4"/>
      <w:lvlJc w:val="left"/>
      <w:pPr>
        <w:ind w:left="426"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pStyle w:val="270"/>
      <w:isLgl/>
      <w:lvlText w:val="%1.%2.%3.%4.%5"/>
      <w:lvlJc w:val="left"/>
      <w:pPr>
        <w:ind w:left="425" w:firstLine="0"/>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5" w:tentative="0">
      <w:start w:val="1"/>
      <w:numFmt w:val="decimal"/>
      <w:lvlText w:val="%1.%2.%3.%4.%5.%6"/>
      <w:lvlJc w:val="left"/>
      <w:pPr>
        <w:ind w:left="3685" w:hanging="1134"/>
      </w:pPr>
      <w:rPr>
        <w:rFonts w:hint="eastAsia"/>
      </w:rPr>
    </w:lvl>
    <w:lvl w:ilvl="6" w:tentative="0">
      <w:start w:val="1"/>
      <w:numFmt w:val="decimal"/>
      <w:lvlText w:val="%1.%2.%3.%4.%5.%6.%7"/>
      <w:lvlJc w:val="left"/>
      <w:pPr>
        <w:ind w:left="4252" w:hanging="1276"/>
      </w:pPr>
      <w:rPr>
        <w:rFonts w:hint="eastAsia"/>
      </w:rPr>
    </w:lvl>
    <w:lvl w:ilvl="7" w:tentative="0">
      <w:start w:val="1"/>
      <w:numFmt w:val="decimal"/>
      <w:lvlText w:val="%1.%2.%3.%4.%5.%6.%7.%8"/>
      <w:lvlJc w:val="left"/>
      <w:pPr>
        <w:ind w:left="4819" w:hanging="1418"/>
      </w:pPr>
      <w:rPr>
        <w:rFonts w:hint="eastAsia"/>
      </w:rPr>
    </w:lvl>
    <w:lvl w:ilvl="8" w:tentative="0">
      <w:start w:val="1"/>
      <w:numFmt w:val="decimal"/>
      <w:lvlText w:val="%1.%2.%3.%4.%5.%6.%7.%8.%9"/>
      <w:lvlJc w:val="left"/>
      <w:pPr>
        <w:ind w:left="5527" w:hanging="1700"/>
      </w:pPr>
      <w:rPr>
        <w:rFonts w:hint="eastAsia"/>
      </w:rPr>
    </w:lvl>
  </w:abstractNum>
  <w:abstractNum w:abstractNumId="8">
    <w:nsid w:val="38F306BF"/>
    <w:multiLevelType w:val="multilevel"/>
    <w:tmpl w:val="38F306BF"/>
    <w:lvl w:ilvl="0" w:tentative="0">
      <w:start w:val="1"/>
      <w:numFmt w:val="japaneseCounting"/>
      <w:lvlText w:val="（%1）"/>
      <w:lvlJc w:val="left"/>
      <w:pPr>
        <w:tabs>
          <w:tab w:val="left" w:pos="1125"/>
        </w:tabs>
        <w:ind w:left="1125" w:hanging="720"/>
      </w:pPr>
    </w:lvl>
    <w:lvl w:ilvl="1" w:tentative="0">
      <w:start w:val="1"/>
      <w:numFmt w:val="decimal"/>
      <w:lvlText w:val="%2."/>
      <w:lvlJc w:val="left"/>
      <w:pPr>
        <w:tabs>
          <w:tab w:val="left" w:pos="1440"/>
        </w:tabs>
        <w:ind w:left="1440" w:hanging="360"/>
      </w:pPr>
    </w:lvl>
    <w:lvl w:ilvl="2" w:tentative="0">
      <w:start w:val="1"/>
      <w:numFmt w:val="decimal"/>
      <w:pStyle w:val="180"/>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DB9F34D"/>
    <w:multiLevelType w:val="singleLevel"/>
    <w:tmpl w:val="3DB9F34D"/>
    <w:lvl w:ilvl="0" w:tentative="0">
      <w:start w:val="6"/>
      <w:numFmt w:val="decimal"/>
      <w:lvlText w:val="%1."/>
      <w:lvlJc w:val="left"/>
      <w:pPr>
        <w:tabs>
          <w:tab w:val="left" w:pos="312"/>
        </w:tabs>
      </w:pPr>
    </w:lvl>
  </w:abstractNum>
  <w:abstractNum w:abstractNumId="10">
    <w:nsid w:val="619A205D"/>
    <w:multiLevelType w:val="singleLevel"/>
    <w:tmpl w:val="619A205D"/>
    <w:lvl w:ilvl="0" w:tentative="0">
      <w:start w:val="1"/>
      <w:numFmt w:val="decimal"/>
      <w:suff w:val="nothing"/>
      <w:lvlText w:val="%1、"/>
      <w:lvlJc w:val="left"/>
    </w:lvl>
  </w:abstractNum>
  <w:abstractNum w:abstractNumId="11">
    <w:nsid w:val="7B568D6F"/>
    <w:multiLevelType w:val="singleLevel"/>
    <w:tmpl w:val="7B568D6F"/>
    <w:lvl w:ilvl="0" w:tentative="0">
      <w:start w:val="1"/>
      <w:numFmt w:val="decimal"/>
      <w:suff w:val="nothing"/>
      <w:lvlText w:val="%1、"/>
      <w:lvlJc w:val="left"/>
    </w:lvl>
  </w:abstractNum>
  <w:abstractNum w:abstractNumId="12">
    <w:nsid w:val="7E2523B6"/>
    <w:multiLevelType w:val="multilevel"/>
    <w:tmpl w:val="7E2523B6"/>
    <w:lvl w:ilvl="0" w:tentative="0">
      <w:start w:val="1"/>
      <w:numFmt w:val="japaneseCounting"/>
      <w:pStyle w:val="155"/>
      <w:lvlText w:val="第%1条"/>
      <w:lvlJc w:val="left"/>
      <w:pPr>
        <w:ind w:left="1172" w:hanging="750"/>
      </w:pPr>
      <w:rPr>
        <w:rFonts w:hint="default"/>
      </w:rPr>
    </w:lvl>
    <w:lvl w:ilvl="1" w:tentative="0">
      <w:start w:val="1"/>
      <w:numFmt w:val="lowerLetter"/>
      <w:pStyle w:val="154"/>
      <w:lvlText w:val="%2)"/>
      <w:lvlJc w:val="left"/>
      <w:pPr>
        <w:ind w:left="1262" w:hanging="420"/>
      </w:pPr>
    </w:lvl>
    <w:lvl w:ilvl="2" w:tentative="0">
      <w:start w:val="1"/>
      <w:numFmt w:val="lowerRoman"/>
      <w:pStyle w:val="156"/>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1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7"/>
  </w:num>
  <w:num w:numId="6">
    <w:abstractNumId w:val="5"/>
  </w:num>
  <w:num w:numId="7">
    <w:abstractNumId w:val="9"/>
  </w:num>
  <w:num w:numId="8">
    <w:abstractNumId w:val="11"/>
  </w:num>
  <w:num w:numId="9">
    <w:abstractNumId w:val="10"/>
  </w:num>
  <w:num w:numId="10">
    <w:abstractNumId w:val="1"/>
  </w:num>
  <w:num w:numId="11">
    <w:abstractNumId w:val="3"/>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NotDisplayPageBoundaries w:val="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0052"/>
    <w:rsid w:val="00000D2F"/>
    <w:rsid w:val="000031F3"/>
    <w:rsid w:val="00007E03"/>
    <w:rsid w:val="00012DEE"/>
    <w:rsid w:val="000138A4"/>
    <w:rsid w:val="00013FAD"/>
    <w:rsid w:val="000174FB"/>
    <w:rsid w:val="00017969"/>
    <w:rsid w:val="000226F9"/>
    <w:rsid w:val="00022B54"/>
    <w:rsid w:val="00026D1F"/>
    <w:rsid w:val="000339CC"/>
    <w:rsid w:val="00040BA7"/>
    <w:rsid w:val="0004225B"/>
    <w:rsid w:val="00042CFB"/>
    <w:rsid w:val="00045186"/>
    <w:rsid w:val="00051BEE"/>
    <w:rsid w:val="00053557"/>
    <w:rsid w:val="00053E24"/>
    <w:rsid w:val="000549E1"/>
    <w:rsid w:val="000669C8"/>
    <w:rsid w:val="00071A82"/>
    <w:rsid w:val="000811D6"/>
    <w:rsid w:val="000837E4"/>
    <w:rsid w:val="00084721"/>
    <w:rsid w:val="00085179"/>
    <w:rsid w:val="000851E1"/>
    <w:rsid w:val="00086F91"/>
    <w:rsid w:val="00090182"/>
    <w:rsid w:val="000908C9"/>
    <w:rsid w:val="00091106"/>
    <w:rsid w:val="00092451"/>
    <w:rsid w:val="00095A47"/>
    <w:rsid w:val="000A0282"/>
    <w:rsid w:val="000A05DA"/>
    <w:rsid w:val="000A2FB1"/>
    <w:rsid w:val="000A4349"/>
    <w:rsid w:val="000A7626"/>
    <w:rsid w:val="000A767F"/>
    <w:rsid w:val="000A7DE8"/>
    <w:rsid w:val="000B0DED"/>
    <w:rsid w:val="000B0F9C"/>
    <w:rsid w:val="000B17E6"/>
    <w:rsid w:val="000B2C46"/>
    <w:rsid w:val="000C24B5"/>
    <w:rsid w:val="000D3A19"/>
    <w:rsid w:val="000D5945"/>
    <w:rsid w:val="000D61F3"/>
    <w:rsid w:val="000D6823"/>
    <w:rsid w:val="000E5963"/>
    <w:rsid w:val="000E62C2"/>
    <w:rsid w:val="000F2627"/>
    <w:rsid w:val="000F3E23"/>
    <w:rsid w:val="00103305"/>
    <w:rsid w:val="0010638A"/>
    <w:rsid w:val="00111B5A"/>
    <w:rsid w:val="00114701"/>
    <w:rsid w:val="00116AFC"/>
    <w:rsid w:val="00117EA0"/>
    <w:rsid w:val="00126F4C"/>
    <w:rsid w:val="00131159"/>
    <w:rsid w:val="00131274"/>
    <w:rsid w:val="00132537"/>
    <w:rsid w:val="00132B0A"/>
    <w:rsid w:val="00133FE0"/>
    <w:rsid w:val="001371B6"/>
    <w:rsid w:val="00143216"/>
    <w:rsid w:val="00144230"/>
    <w:rsid w:val="001449BF"/>
    <w:rsid w:val="001469B6"/>
    <w:rsid w:val="00146CAB"/>
    <w:rsid w:val="001501C5"/>
    <w:rsid w:val="0015039E"/>
    <w:rsid w:val="00151467"/>
    <w:rsid w:val="00154710"/>
    <w:rsid w:val="00155AB5"/>
    <w:rsid w:val="0015728B"/>
    <w:rsid w:val="001623A1"/>
    <w:rsid w:val="00164865"/>
    <w:rsid w:val="00167533"/>
    <w:rsid w:val="0017165F"/>
    <w:rsid w:val="001716E6"/>
    <w:rsid w:val="00173C54"/>
    <w:rsid w:val="00174F59"/>
    <w:rsid w:val="001754B8"/>
    <w:rsid w:val="0017560B"/>
    <w:rsid w:val="00175C6D"/>
    <w:rsid w:val="001760AF"/>
    <w:rsid w:val="001768BE"/>
    <w:rsid w:val="001850AB"/>
    <w:rsid w:val="001906BD"/>
    <w:rsid w:val="001910AA"/>
    <w:rsid w:val="0019219D"/>
    <w:rsid w:val="00197462"/>
    <w:rsid w:val="001A14C0"/>
    <w:rsid w:val="001A6437"/>
    <w:rsid w:val="001B038A"/>
    <w:rsid w:val="001B3E63"/>
    <w:rsid w:val="001B6825"/>
    <w:rsid w:val="001C31C3"/>
    <w:rsid w:val="001C3D4C"/>
    <w:rsid w:val="001C4148"/>
    <w:rsid w:val="001C4F0B"/>
    <w:rsid w:val="001C5B2B"/>
    <w:rsid w:val="001C6992"/>
    <w:rsid w:val="001C79C4"/>
    <w:rsid w:val="001C7DAB"/>
    <w:rsid w:val="001D2BA7"/>
    <w:rsid w:val="001E2BB9"/>
    <w:rsid w:val="001E3CCB"/>
    <w:rsid w:val="001E63C0"/>
    <w:rsid w:val="001E6484"/>
    <w:rsid w:val="001E79A5"/>
    <w:rsid w:val="001F11D2"/>
    <w:rsid w:val="001F2B0A"/>
    <w:rsid w:val="001F35D3"/>
    <w:rsid w:val="001F38BC"/>
    <w:rsid w:val="001F5874"/>
    <w:rsid w:val="001F6FBC"/>
    <w:rsid w:val="002015F9"/>
    <w:rsid w:val="00203D10"/>
    <w:rsid w:val="00204EC6"/>
    <w:rsid w:val="00207037"/>
    <w:rsid w:val="002111FD"/>
    <w:rsid w:val="0021269A"/>
    <w:rsid w:val="00212DD2"/>
    <w:rsid w:val="002131D7"/>
    <w:rsid w:val="00213B15"/>
    <w:rsid w:val="00215F46"/>
    <w:rsid w:val="002166C2"/>
    <w:rsid w:val="00216E92"/>
    <w:rsid w:val="00217A70"/>
    <w:rsid w:val="0022027D"/>
    <w:rsid w:val="00226FB8"/>
    <w:rsid w:val="00231510"/>
    <w:rsid w:val="0023376C"/>
    <w:rsid w:val="0023442A"/>
    <w:rsid w:val="00235CDC"/>
    <w:rsid w:val="00235F50"/>
    <w:rsid w:val="00237577"/>
    <w:rsid w:val="00237CD1"/>
    <w:rsid w:val="002429CD"/>
    <w:rsid w:val="002471F8"/>
    <w:rsid w:val="00251127"/>
    <w:rsid w:val="00251790"/>
    <w:rsid w:val="00253E07"/>
    <w:rsid w:val="002614CB"/>
    <w:rsid w:val="00261D71"/>
    <w:rsid w:val="002669E0"/>
    <w:rsid w:val="00272D25"/>
    <w:rsid w:val="00273478"/>
    <w:rsid w:val="00274ABD"/>
    <w:rsid w:val="002778E8"/>
    <w:rsid w:val="00283E5B"/>
    <w:rsid w:val="00284D18"/>
    <w:rsid w:val="00286DBB"/>
    <w:rsid w:val="002872FE"/>
    <w:rsid w:val="00287435"/>
    <w:rsid w:val="0029049E"/>
    <w:rsid w:val="002913EB"/>
    <w:rsid w:val="002915DE"/>
    <w:rsid w:val="00292220"/>
    <w:rsid w:val="002946A4"/>
    <w:rsid w:val="00296967"/>
    <w:rsid w:val="00296AD0"/>
    <w:rsid w:val="002A0FA0"/>
    <w:rsid w:val="002A5C8E"/>
    <w:rsid w:val="002A5FE8"/>
    <w:rsid w:val="002B5D5B"/>
    <w:rsid w:val="002B6E10"/>
    <w:rsid w:val="002C470C"/>
    <w:rsid w:val="002C55FB"/>
    <w:rsid w:val="002D1A0F"/>
    <w:rsid w:val="002E2348"/>
    <w:rsid w:val="002E27AA"/>
    <w:rsid w:val="002E5CAB"/>
    <w:rsid w:val="002F076D"/>
    <w:rsid w:val="002F2950"/>
    <w:rsid w:val="002F3525"/>
    <w:rsid w:val="002F3E50"/>
    <w:rsid w:val="002F443F"/>
    <w:rsid w:val="002F6015"/>
    <w:rsid w:val="003011C2"/>
    <w:rsid w:val="00303A5A"/>
    <w:rsid w:val="00307E79"/>
    <w:rsid w:val="00313AEF"/>
    <w:rsid w:val="00320725"/>
    <w:rsid w:val="003211AD"/>
    <w:rsid w:val="00321738"/>
    <w:rsid w:val="003217A9"/>
    <w:rsid w:val="00322304"/>
    <w:rsid w:val="003228B8"/>
    <w:rsid w:val="00323E3F"/>
    <w:rsid w:val="00323E6F"/>
    <w:rsid w:val="00325476"/>
    <w:rsid w:val="00326F29"/>
    <w:rsid w:val="00331516"/>
    <w:rsid w:val="00333EA5"/>
    <w:rsid w:val="00334375"/>
    <w:rsid w:val="0034069E"/>
    <w:rsid w:val="003415F3"/>
    <w:rsid w:val="00343F6B"/>
    <w:rsid w:val="00344D39"/>
    <w:rsid w:val="00346F93"/>
    <w:rsid w:val="00350B73"/>
    <w:rsid w:val="00350DB7"/>
    <w:rsid w:val="00351910"/>
    <w:rsid w:val="00351A5D"/>
    <w:rsid w:val="00351B58"/>
    <w:rsid w:val="0035217A"/>
    <w:rsid w:val="00352311"/>
    <w:rsid w:val="003523E5"/>
    <w:rsid w:val="00353F15"/>
    <w:rsid w:val="003557D0"/>
    <w:rsid w:val="0035737B"/>
    <w:rsid w:val="003619C1"/>
    <w:rsid w:val="0036327F"/>
    <w:rsid w:val="00364993"/>
    <w:rsid w:val="003678F9"/>
    <w:rsid w:val="003710FB"/>
    <w:rsid w:val="003717FB"/>
    <w:rsid w:val="00376C50"/>
    <w:rsid w:val="00376ED4"/>
    <w:rsid w:val="00377E92"/>
    <w:rsid w:val="003815F4"/>
    <w:rsid w:val="00381D3C"/>
    <w:rsid w:val="00381FF3"/>
    <w:rsid w:val="00383581"/>
    <w:rsid w:val="00384654"/>
    <w:rsid w:val="003865AD"/>
    <w:rsid w:val="00390C25"/>
    <w:rsid w:val="00393177"/>
    <w:rsid w:val="00393F1A"/>
    <w:rsid w:val="003942D7"/>
    <w:rsid w:val="00394D4F"/>
    <w:rsid w:val="00395D2E"/>
    <w:rsid w:val="003A1B94"/>
    <w:rsid w:val="003A2BA8"/>
    <w:rsid w:val="003A6BA3"/>
    <w:rsid w:val="003A70FD"/>
    <w:rsid w:val="003B0FB0"/>
    <w:rsid w:val="003B3CD2"/>
    <w:rsid w:val="003B5E69"/>
    <w:rsid w:val="003B6A43"/>
    <w:rsid w:val="003C242E"/>
    <w:rsid w:val="003C258E"/>
    <w:rsid w:val="003D0494"/>
    <w:rsid w:val="003D4544"/>
    <w:rsid w:val="003D7058"/>
    <w:rsid w:val="003E0228"/>
    <w:rsid w:val="003E211B"/>
    <w:rsid w:val="003E3664"/>
    <w:rsid w:val="003E3854"/>
    <w:rsid w:val="003E3A84"/>
    <w:rsid w:val="003E45DB"/>
    <w:rsid w:val="003E4958"/>
    <w:rsid w:val="003F09B7"/>
    <w:rsid w:val="003F3194"/>
    <w:rsid w:val="003F687F"/>
    <w:rsid w:val="003F7BC3"/>
    <w:rsid w:val="00400569"/>
    <w:rsid w:val="00407AF3"/>
    <w:rsid w:val="004109FA"/>
    <w:rsid w:val="00421339"/>
    <w:rsid w:val="00421BB7"/>
    <w:rsid w:val="00423B7B"/>
    <w:rsid w:val="00424F71"/>
    <w:rsid w:val="00427D4D"/>
    <w:rsid w:val="004309DD"/>
    <w:rsid w:val="00431787"/>
    <w:rsid w:val="00433C12"/>
    <w:rsid w:val="00435410"/>
    <w:rsid w:val="0044180A"/>
    <w:rsid w:val="00444290"/>
    <w:rsid w:val="00446F03"/>
    <w:rsid w:val="004477AE"/>
    <w:rsid w:val="004621A3"/>
    <w:rsid w:val="00467743"/>
    <w:rsid w:val="0047509F"/>
    <w:rsid w:val="0047672C"/>
    <w:rsid w:val="004809D6"/>
    <w:rsid w:val="00483324"/>
    <w:rsid w:val="004872DB"/>
    <w:rsid w:val="00487876"/>
    <w:rsid w:val="00491F41"/>
    <w:rsid w:val="0049396F"/>
    <w:rsid w:val="00494872"/>
    <w:rsid w:val="00496E9C"/>
    <w:rsid w:val="004A104B"/>
    <w:rsid w:val="004A465E"/>
    <w:rsid w:val="004A744B"/>
    <w:rsid w:val="004B3A9D"/>
    <w:rsid w:val="004B61B5"/>
    <w:rsid w:val="004C2226"/>
    <w:rsid w:val="004C3258"/>
    <w:rsid w:val="004C4DB5"/>
    <w:rsid w:val="004C59C9"/>
    <w:rsid w:val="004C5E2B"/>
    <w:rsid w:val="004C6C78"/>
    <w:rsid w:val="004D17D2"/>
    <w:rsid w:val="004D2EDE"/>
    <w:rsid w:val="004D5D59"/>
    <w:rsid w:val="004D6A9F"/>
    <w:rsid w:val="004E32F7"/>
    <w:rsid w:val="004E3C05"/>
    <w:rsid w:val="004E3C30"/>
    <w:rsid w:val="004E477A"/>
    <w:rsid w:val="004E482A"/>
    <w:rsid w:val="004E6C54"/>
    <w:rsid w:val="004F1BE1"/>
    <w:rsid w:val="004F311E"/>
    <w:rsid w:val="004F3A85"/>
    <w:rsid w:val="004F401B"/>
    <w:rsid w:val="00500918"/>
    <w:rsid w:val="00501165"/>
    <w:rsid w:val="00502789"/>
    <w:rsid w:val="00504215"/>
    <w:rsid w:val="00507DD5"/>
    <w:rsid w:val="00511FBF"/>
    <w:rsid w:val="005138D8"/>
    <w:rsid w:val="00515DC0"/>
    <w:rsid w:val="00516489"/>
    <w:rsid w:val="00522B8D"/>
    <w:rsid w:val="00522C7A"/>
    <w:rsid w:val="005244BF"/>
    <w:rsid w:val="005353E9"/>
    <w:rsid w:val="00537DDA"/>
    <w:rsid w:val="00541359"/>
    <w:rsid w:val="00541750"/>
    <w:rsid w:val="0055052C"/>
    <w:rsid w:val="005528F0"/>
    <w:rsid w:val="0055786A"/>
    <w:rsid w:val="00560052"/>
    <w:rsid w:val="00561F0F"/>
    <w:rsid w:val="00562D77"/>
    <w:rsid w:val="00564F64"/>
    <w:rsid w:val="00565C8C"/>
    <w:rsid w:val="0056651B"/>
    <w:rsid w:val="0056795A"/>
    <w:rsid w:val="00572CA5"/>
    <w:rsid w:val="00572F9A"/>
    <w:rsid w:val="00577A81"/>
    <w:rsid w:val="00577C00"/>
    <w:rsid w:val="0058016A"/>
    <w:rsid w:val="0058020A"/>
    <w:rsid w:val="00583507"/>
    <w:rsid w:val="005859F9"/>
    <w:rsid w:val="00586351"/>
    <w:rsid w:val="0058713B"/>
    <w:rsid w:val="00590818"/>
    <w:rsid w:val="00591A9F"/>
    <w:rsid w:val="0059526E"/>
    <w:rsid w:val="005962AF"/>
    <w:rsid w:val="00597722"/>
    <w:rsid w:val="005A60FF"/>
    <w:rsid w:val="005B1B1B"/>
    <w:rsid w:val="005B6DA7"/>
    <w:rsid w:val="005C7EF4"/>
    <w:rsid w:val="005D0105"/>
    <w:rsid w:val="005D3713"/>
    <w:rsid w:val="005D48FE"/>
    <w:rsid w:val="005D6164"/>
    <w:rsid w:val="005D62C0"/>
    <w:rsid w:val="005E0A5A"/>
    <w:rsid w:val="005E6A33"/>
    <w:rsid w:val="005F2DE5"/>
    <w:rsid w:val="005F3EAB"/>
    <w:rsid w:val="005F4102"/>
    <w:rsid w:val="005F6EB2"/>
    <w:rsid w:val="005F7020"/>
    <w:rsid w:val="005F7046"/>
    <w:rsid w:val="005F7302"/>
    <w:rsid w:val="00600736"/>
    <w:rsid w:val="00600AF7"/>
    <w:rsid w:val="00600C01"/>
    <w:rsid w:val="0060407C"/>
    <w:rsid w:val="006041F7"/>
    <w:rsid w:val="00604416"/>
    <w:rsid w:val="0060543D"/>
    <w:rsid w:val="006138C4"/>
    <w:rsid w:val="00615E77"/>
    <w:rsid w:val="00621769"/>
    <w:rsid w:val="00622C68"/>
    <w:rsid w:val="00625432"/>
    <w:rsid w:val="00625A9B"/>
    <w:rsid w:val="00632D2A"/>
    <w:rsid w:val="00634EDE"/>
    <w:rsid w:val="00637B4A"/>
    <w:rsid w:val="00640CF6"/>
    <w:rsid w:val="0064203A"/>
    <w:rsid w:val="00642F6E"/>
    <w:rsid w:val="00643F23"/>
    <w:rsid w:val="00644C31"/>
    <w:rsid w:val="006460C8"/>
    <w:rsid w:val="0064756C"/>
    <w:rsid w:val="00651D48"/>
    <w:rsid w:val="006526C9"/>
    <w:rsid w:val="0065675B"/>
    <w:rsid w:val="006578A0"/>
    <w:rsid w:val="00662B8D"/>
    <w:rsid w:val="00663F69"/>
    <w:rsid w:val="00665069"/>
    <w:rsid w:val="00666947"/>
    <w:rsid w:val="00677A5B"/>
    <w:rsid w:val="00683127"/>
    <w:rsid w:val="0068324A"/>
    <w:rsid w:val="00686AD6"/>
    <w:rsid w:val="00692B3F"/>
    <w:rsid w:val="00692C95"/>
    <w:rsid w:val="00693059"/>
    <w:rsid w:val="00693122"/>
    <w:rsid w:val="00693C73"/>
    <w:rsid w:val="006941B0"/>
    <w:rsid w:val="00694891"/>
    <w:rsid w:val="006963E4"/>
    <w:rsid w:val="00696679"/>
    <w:rsid w:val="00697078"/>
    <w:rsid w:val="006A179D"/>
    <w:rsid w:val="006A6B94"/>
    <w:rsid w:val="006A7E99"/>
    <w:rsid w:val="006B1718"/>
    <w:rsid w:val="006B2F93"/>
    <w:rsid w:val="006B3927"/>
    <w:rsid w:val="006B3FA4"/>
    <w:rsid w:val="006B73F6"/>
    <w:rsid w:val="006C2DC0"/>
    <w:rsid w:val="006C5721"/>
    <w:rsid w:val="006C6029"/>
    <w:rsid w:val="006D5F8C"/>
    <w:rsid w:val="006D6963"/>
    <w:rsid w:val="006E1B0A"/>
    <w:rsid w:val="006E23CF"/>
    <w:rsid w:val="006E60D0"/>
    <w:rsid w:val="006E653A"/>
    <w:rsid w:val="006E6817"/>
    <w:rsid w:val="006E7EFF"/>
    <w:rsid w:val="006F1DD5"/>
    <w:rsid w:val="006F5582"/>
    <w:rsid w:val="007032A6"/>
    <w:rsid w:val="00706536"/>
    <w:rsid w:val="0071478B"/>
    <w:rsid w:val="00716A50"/>
    <w:rsid w:val="007224A5"/>
    <w:rsid w:val="00722EC7"/>
    <w:rsid w:val="0072407A"/>
    <w:rsid w:val="00726751"/>
    <w:rsid w:val="00730106"/>
    <w:rsid w:val="00730ABA"/>
    <w:rsid w:val="007356E2"/>
    <w:rsid w:val="00736C81"/>
    <w:rsid w:val="00740473"/>
    <w:rsid w:val="007407A7"/>
    <w:rsid w:val="007412D7"/>
    <w:rsid w:val="00742080"/>
    <w:rsid w:val="00743833"/>
    <w:rsid w:val="00743B47"/>
    <w:rsid w:val="00743E96"/>
    <w:rsid w:val="00744EAD"/>
    <w:rsid w:val="007474E1"/>
    <w:rsid w:val="00752536"/>
    <w:rsid w:val="0075267B"/>
    <w:rsid w:val="0075422C"/>
    <w:rsid w:val="00756C90"/>
    <w:rsid w:val="007604F8"/>
    <w:rsid w:val="007632EA"/>
    <w:rsid w:val="007701FD"/>
    <w:rsid w:val="00771EA8"/>
    <w:rsid w:val="0077402D"/>
    <w:rsid w:val="007742F8"/>
    <w:rsid w:val="00774BC0"/>
    <w:rsid w:val="0077788B"/>
    <w:rsid w:val="00782EED"/>
    <w:rsid w:val="007830E5"/>
    <w:rsid w:val="00783520"/>
    <w:rsid w:val="00783EB2"/>
    <w:rsid w:val="00785361"/>
    <w:rsid w:val="00785D34"/>
    <w:rsid w:val="007869B5"/>
    <w:rsid w:val="00793969"/>
    <w:rsid w:val="00794623"/>
    <w:rsid w:val="00794B67"/>
    <w:rsid w:val="0079535F"/>
    <w:rsid w:val="00795BA9"/>
    <w:rsid w:val="007962B7"/>
    <w:rsid w:val="007A41A0"/>
    <w:rsid w:val="007A4470"/>
    <w:rsid w:val="007B2576"/>
    <w:rsid w:val="007B4621"/>
    <w:rsid w:val="007B6C34"/>
    <w:rsid w:val="007B7243"/>
    <w:rsid w:val="007C29A5"/>
    <w:rsid w:val="007C33CD"/>
    <w:rsid w:val="007C49FC"/>
    <w:rsid w:val="007C5DF3"/>
    <w:rsid w:val="007C7148"/>
    <w:rsid w:val="007D008E"/>
    <w:rsid w:val="007D05C8"/>
    <w:rsid w:val="007D115D"/>
    <w:rsid w:val="007D55DA"/>
    <w:rsid w:val="007D56B0"/>
    <w:rsid w:val="007D5D3E"/>
    <w:rsid w:val="007D5F51"/>
    <w:rsid w:val="007D76DA"/>
    <w:rsid w:val="007D7C7E"/>
    <w:rsid w:val="007E3455"/>
    <w:rsid w:val="007E441A"/>
    <w:rsid w:val="007F2C13"/>
    <w:rsid w:val="007F4BC0"/>
    <w:rsid w:val="007F5107"/>
    <w:rsid w:val="007F573E"/>
    <w:rsid w:val="007F637F"/>
    <w:rsid w:val="007F67AA"/>
    <w:rsid w:val="0080546A"/>
    <w:rsid w:val="008058B5"/>
    <w:rsid w:val="0080651C"/>
    <w:rsid w:val="008068E3"/>
    <w:rsid w:val="00807564"/>
    <w:rsid w:val="00812E68"/>
    <w:rsid w:val="00813248"/>
    <w:rsid w:val="008138C7"/>
    <w:rsid w:val="00814501"/>
    <w:rsid w:val="0082030F"/>
    <w:rsid w:val="00822092"/>
    <w:rsid w:val="00823489"/>
    <w:rsid w:val="0082395B"/>
    <w:rsid w:val="00825C5F"/>
    <w:rsid w:val="00825D4D"/>
    <w:rsid w:val="00826DF1"/>
    <w:rsid w:val="00830177"/>
    <w:rsid w:val="00831CAD"/>
    <w:rsid w:val="008331F1"/>
    <w:rsid w:val="008352F1"/>
    <w:rsid w:val="0083531B"/>
    <w:rsid w:val="00835459"/>
    <w:rsid w:val="008357FC"/>
    <w:rsid w:val="0083797A"/>
    <w:rsid w:val="00841779"/>
    <w:rsid w:val="0084542A"/>
    <w:rsid w:val="00847147"/>
    <w:rsid w:val="008559B7"/>
    <w:rsid w:val="008631E2"/>
    <w:rsid w:val="008652A9"/>
    <w:rsid w:val="008668CC"/>
    <w:rsid w:val="008732E1"/>
    <w:rsid w:val="00877167"/>
    <w:rsid w:val="0087785E"/>
    <w:rsid w:val="00877EB3"/>
    <w:rsid w:val="0088002F"/>
    <w:rsid w:val="00880053"/>
    <w:rsid w:val="00880E03"/>
    <w:rsid w:val="00881173"/>
    <w:rsid w:val="00883FD6"/>
    <w:rsid w:val="00885428"/>
    <w:rsid w:val="008870EA"/>
    <w:rsid w:val="0089774C"/>
    <w:rsid w:val="008A2A09"/>
    <w:rsid w:val="008A2C02"/>
    <w:rsid w:val="008A3DA0"/>
    <w:rsid w:val="008A72D1"/>
    <w:rsid w:val="008B0924"/>
    <w:rsid w:val="008B5CE9"/>
    <w:rsid w:val="008B5D3A"/>
    <w:rsid w:val="008C3533"/>
    <w:rsid w:val="008C6066"/>
    <w:rsid w:val="008C6FF1"/>
    <w:rsid w:val="008D30FA"/>
    <w:rsid w:val="008D34C9"/>
    <w:rsid w:val="008D6058"/>
    <w:rsid w:val="008E1010"/>
    <w:rsid w:val="008E4DA5"/>
    <w:rsid w:val="008E6AE6"/>
    <w:rsid w:val="008E6B61"/>
    <w:rsid w:val="008E7ACC"/>
    <w:rsid w:val="008F1615"/>
    <w:rsid w:val="008F2BE5"/>
    <w:rsid w:val="008F536B"/>
    <w:rsid w:val="008F6866"/>
    <w:rsid w:val="00916D5B"/>
    <w:rsid w:val="0092133E"/>
    <w:rsid w:val="00921578"/>
    <w:rsid w:val="00921B19"/>
    <w:rsid w:val="009306A8"/>
    <w:rsid w:val="009327AA"/>
    <w:rsid w:val="00934FD8"/>
    <w:rsid w:val="00936ABA"/>
    <w:rsid w:val="00940932"/>
    <w:rsid w:val="00941F8E"/>
    <w:rsid w:val="00942159"/>
    <w:rsid w:val="00942372"/>
    <w:rsid w:val="00942644"/>
    <w:rsid w:val="00945E76"/>
    <w:rsid w:val="00946762"/>
    <w:rsid w:val="00947C6B"/>
    <w:rsid w:val="00951813"/>
    <w:rsid w:val="00953CC1"/>
    <w:rsid w:val="009548DB"/>
    <w:rsid w:val="00954A40"/>
    <w:rsid w:val="00955AC1"/>
    <w:rsid w:val="00962A63"/>
    <w:rsid w:val="00962C51"/>
    <w:rsid w:val="00963E98"/>
    <w:rsid w:val="00964760"/>
    <w:rsid w:val="00967E6C"/>
    <w:rsid w:val="00967F0F"/>
    <w:rsid w:val="00970CC1"/>
    <w:rsid w:val="00972140"/>
    <w:rsid w:val="00974BB4"/>
    <w:rsid w:val="00974BCE"/>
    <w:rsid w:val="00976B06"/>
    <w:rsid w:val="00980375"/>
    <w:rsid w:val="00984610"/>
    <w:rsid w:val="00984D35"/>
    <w:rsid w:val="00984D45"/>
    <w:rsid w:val="00990400"/>
    <w:rsid w:val="009934DE"/>
    <w:rsid w:val="009A1C43"/>
    <w:rsid w:val="009A2275"/>
    <w:rsid w:val="009A2E85"/>
    <w:rsid w:val="009B2826"/>
    <w:rsid w:val="009B5C73"/>
    <w:rsid w:val="009B66EA"/>
    <w:rsid w:val="009C1C18"/>
    <w:rsid w:val="009D075B"/>
    <w:rsid w:val="009D1C23"/>
    <w:rsid w:val="009D67D6"/>
    <w:rsid w:val="009D70E7"/>
    <w:rsid w:val="009E1526"/>
    <w:rsid w:val="009E1D04"/>
    <w:rsid w:val="009E2293"/>
    <w:rsid w:val="009E2381"/>
    <w:rsid w:val="009E3787"/>
    <w:rsid w:val="009E55C0"/>
    <w:rsid w:val="009E5BC6"/>
    <w:rsid w:val="009F0341"/>
    <w:rsid w:val="009F12B0"/>
    <w:rsid w:val="009F1676"/>
    <w:rsid w:val="00A009AD"/>
    <w:rsid w:val="00A03D24"/>
    <w:rsid w:val="00A03FB5"/>
    <w:rsid w:val="00A069D3"/>
    <w:rsid w:val="00A07457"/>
    <w:rsid w:val="00A10808"/>
    <w:rsid w:val="00A10829"/>
    <w:rsid w:val="00A1658E"/>
    <w:rsid w:val="00A2159A"/>
    <w:rsid w:val="00A22581"/>
    <w:rsid w:val="00A25A8D"/>
    <w:rsid w:val="00A25FFF"/>
    <w:rsid w:val="00A321EB"/>
    <w:rsid w:val="00A35D13"/>
    <w:rsid w:val="00A36977"/>
    <w:rsid w:val="00A4163A"/>
    <w:rsid w:val="00A43F87"/>
    <w:rsid w:val="00A4432E"/>
    <w:rsid w:val="00A46523"/>
    <w:rsid w:val="00A47B5E"/>
    <w:rsid w:val="00A51F91"/>
    <w:rsid w:val="00A55228"/>
    <w:rsid w:val="00A57E2A"/>
    <w:rsid w:val="00A620CD"/>
    <w:rsid w:val="00A62810"/>
    <w:rsid w:val="00A62C88"/>
    <w:rsid w:val="00A654E3"/>
    <w:rsid w:val="00A655D7"/>
    <w:rsid w:val="00A66F44"/>
    <w:rsid w:val="00A726C7"/>
    <w:rsid w:val="00A84B93"/>
    <w:rsid w:val="00A855FD"/>
    <w:rsid w:val="00A85D01"/>
    <w:rsid w:val="00A86021"/>
    <w:rsid w:val="00A86F10"/>
    <w:rsid w:val="00A871E9"/>
    <w:rsid w:val="00A915C3"/>
    <w:rsid w:val="00A92036"/>
    <w:rsid w:val="00A92C21"/>
    <w:rsid w:val="00A94371"/>
    <w:rsid w:val="00A9465B"/>
    <w:rsid w:val="00A95022"/>
    <w:rsid w:val="00AA0C33"/>
    <w:rsid w:val="00AA1087"/>
    <w:rsid w:val="00AA37D6"/>
    <w:rsid w:val="00AA44B6"/>
    <w:rsid w:val="00AA6B45"/>
    <w:rsid w:val="00AA6F19"/>
    <w:rsid w:val="00AA7082"/>
    <w:rsid w:val="00AB1D37"/>
    <w:rsid w:val="00AB3860"/>
    <w:rsid w:val="00AB44B5"/>
    <w:rsid w:val="00AB5B10"/>
    <w:rsid w:val="00AB603C"/>
    <w:rsid w:val="00AB7B55"/>
    <w:rsid w:val="00AC2E9C"/>
    <w:rsid w:val="00AC3376"/>
    <w:rsid w:val="00AC43AC"/>
    <w:rsid w:val="00AC4A43"/>
    <w:rsid w:val="00AC531B"/>
    <w:rsid w:val="00AC5AE5"/>
    <w:rsid w:val="00AC6170"/>
    <w:rsid w:val="00AC6A29"/>
    <w:rsid w:val="00AD3B07"/>
    <w:rsid w:val="00AD570F"/>
    <w:rsid w:val="00AD5943"/>
    <w:rsid w:val="00AE17E2"/>
    <w:rsid w:val="00AE1C8A"/>
    <w:rsid w:val="00AE5613"/>
    <w:rsid w:val="00AF03C9"/>
    <w:rsid w:val="00AF2111"/>
    <w:rsid w:val="00AF249D"/>
    <w:rsid w:val="00AF5681"/>
    <w:rsid w:val="00AF600F"/>
    <w:rsid w:val="00AF69A6"/>
    <w:rsid w:val="00B01B56"/>
    <w:rsid w:val="00B049C2"/>
    <w:rsid w:val="00B1212F"/>
    <w:rsid w:val="00B12173"/>
    <w:rsid w:val="00B12B96"/>
    <w:rsid w:val="00B13FE8"/>
    <w:rsid w:val="00B176AB"/>
    <w:rsid w:val="00B242C2"/>
    <w:rsid w:val="00B24A9C"/>
    <w:rsid w:val="00B30AE6"/>
    <w:rsid w:val="00B33B93"/>
    <w:rsid w:val="00B351BE"/>
    <w:rsid w:val="00B37FC0"/>
    <w:rsid w:val="00B43195"/>
    <w:rsid w:val="00B43370"/>
    <w:rsid w:val="00B44954"/>
    <w:rsid w:val="00B477CE"/>
    <w:rsid w:val="00B50015"/>
    <w:rsid w:val="00B5586C"/>
    <w:rsid w:val="00B56DA8"/>
    <w:rsid w:val="00B57840"/>
    <w:rsid w:val="00B6240F"/>
    <w:rsid w:val="00B63918"/>
    <w:rsid w:val="00B65E90"/>
    <w:rsid w:val="00B67BE6"/>
    <w:rsid w:val="00B70451"/>
    <w:rsid w:val="00B708DF"/>
    <w:rsid w:val="00B72D99"/>
    <w:rsid w:val="00B74A5B"/>
    <w:rsid w:val="00B77343"/>
    <w:rsid w:val="00B77966"/>
    <w:rsid w:val="00B80B7D"/>
    <w:rsid w:val="00B80C26"/>
    <w:rsid w:val="00B81184"/>
    <w:rsid w:val="00B81933"/>
    <w:rsid w:val="00B839D6"/>
    <w:rsid w:val="00B83D98"/>
    <w:rsid w:val="00B87234"/>
    <w:rsid w:val="00B87C77"/>
    <w:rsid w:val="00B87D16"/>
    <w:rsid w:val="00B90F56"/>
    <w:rsid w:val="00B924B9"/>
    <w:rsid w:val="00B92EE9"/>
    <w:rsid w:val="00B94EE0"/>
    <w:rsid w:val="00B96D7E"/>
    <w:rsid w:val="00B97676"/>
    <w:rsid w:val="00B979D1"/>
    <w:rsid w:val="00BA476C"/>
    <w:rsid w:val="00BA496F"/>
    <w:rsid w:val="00BB036C"/>
    <w:rsid w:val="00BB307E"/>
    <w:rsid w:val="00BC08F5"/>
    <w:rsid w:val="00BC507A"/>
    <w:rsid w:val="00BD010B"/>
    <w:rsid w:val="00BE768B"/>
    <w:rsid w:val="00BF2365"/>
    <w:rsid w:val="00BF2899"/>
    <w:rsid w:val="00BF55C0"/>
    <w:rsid w:val="00BF568A"/>
    <w:rsid w:val="00C0210F"/>
    <w:rsid w:val="00C063A1"/>
    <w:rsid w:val="00C06BD2"/>
    <w:rsid w:val="00C06FA5"/>
    <w:rsid w:val="00C10095"/>
    <w:rsid w:val="00C142BB"/>
    <w:rsid w:val="00C1506F"/>
    <w:rsid w:val="00C1741B"/>
    <w:rsid w:val="00C208A3"/>
    <w:rsid w:val="00C21D85"/>
    <w:rsid w:val="00C22465"/>
    <w:rsid w:val="00C22807"/>
    <w:rsid w:val="00C22DC3"/>
    <w:rsid w:val="00C245FE"/>
    <w:rsid w:val="00C2486E"/>
    <w:rsid w:val="00C252D5"/>
    <w:rsid w:val="00C35DDD"/>
    <w:rsid w:val="00C52283"/>
    <w:rsid w:val="00C52B2B"/>
    <w:rsid w:val="00C52B7D"/>
    <w:rsid w:val="00C52EA7"/>
    <w:rsid w:val="00C554CB"/>
    <w:rsid w:val="00C56549"/>
    <w:rsid w:val="00C6016A"/>
    <w:rsid w:val="00C624F5"/>
    <w:rsid w:val="00C6394F"/>
    <w:rsid w:val="00C63F07"/>
    <w:rsid w:val="00C66737"/>
    <w:rsid w:val="00C66D94"/>
    <w:rsid w:val="00C702F3"/>
    <w:rsid w:val="00C747DC"/>
    <w:rsid w:val="00C76C3B"/>
    <w:rsid w:val="00C94517"/>
    <w:rsid w:val="00C967F9"/>
    <w:rsid w:val="00CA265D"/>
    <w:rsid w:val="00CA34AB"/>
    <w:rsid w:val="00CA5522"/>
    <w:rsid w:val="00CB1E6D"/>
    <w:rsid w:val="00CB7E87"/>
    <w:rsid w:val="00CC0ABB"/>
    <w:rsid w:val="00CC3C0A"/>
    <w:rsid w:val="00CC3FB2"/>
    <w:rsid w:val="00CD08E0"/>
    <w:rsid w:val="00CD1F8A"/>
    <w:rsid w:val="00CD3612"/>
    <w:rsid w:val="00CD5A4A"/>
    <w:rsid w:val="00CE213D"/>
    <w:rsid w:val="00CE4BFC"/>
    <w:rsid w:val="00CF02A0"/>
    <w:rsid w:val="00CF2BCE"/>
    <w:rsid w:val="00CF3533"/>
    <w:rsid w:val="00CF5CA6"/>
    <w:rsid w:val="00D00EA1"/>
    <w:rsid w:val="00D0539C"/>
    <w:rsid w:val="00D15441"/>
    <w:rsid w:val="00D16056"/>
    <w:rsid w:val="00D209F4"/>
    <w:rsid w:val="00D2210C"/>
    <w:rsid w:val="00D2440E"/>
    <w:rsid w:val="00D2594E"/>
    <w:rsid w:val="00D25B89"/>
    <w:rsid w:val="00D429D1"/>
    <w:rsid w:val="00D477F1"/>
    <w:rsid w:val="00D52522"/>
    <w:rsid w:val="00D55BAC"/>
    <w:rsid w:val="00D5646E"/>
    <w:rsid w:val="00D608F9"/>
    <w:rsid w:val="00D666B6"/>
    <w:rsid w:val="00D71108"/>
    <w:rsid w:val="00D7147A"/>
    <w:rsid w:val="00D75229"/>
    <w:rsid w:val="00D80CDD"/>
    <w:rsid w:val="00D81B4A"/>
    <w:rsid w:val="00D81C67"/>
    <w:rsid w:val="00D83D0E"/>
    <w:rsid w:val="00D851DD"/>
    <w:rsid w:val="00D855DE"/>
    <w:rsid w:val="00D86BA1"/>
    <w:rsid w:val="00D87E1D"/>
    <w:rsid w:val="00D954B5"/>
    <w:rsid w:val="00D976F5"/>
    <w:rsid w:val="00D979B8"/>
    <w:rsid w:val="00DA0EAB"/>
    <w:rsid w:val="00DA2ADC"/>
    <w:rsid w:val="00DA4211"/>
    <w:rsid w:val="00DA5722"/>
    <w:rsid w:val="00DB0AA6"/>
    <w:rsid w:val="00DB0BD4"/>
    <w:rsid w:val="00DB3AA4"/>
    <w:rsid w:val="00DB5EBE"/>
    <w:rsid w:val="00DB7B59"/>
    <w:rsid w:val="00DC0F28"/>
    <w:rsid w:val="00DC4197"/>
    <w:rsid w:val="00DC463B"/>
    <w:rsid w:val="00DC482A"/>
    <w:rsid w:val="00DC5C77"/>
    <w:rsid w:val="00DC6EA7"/>
    <w:rsid w:val="00DD09DE"/>
    <w:rsid w:val="00DD17DC"/>
    <w:rsid w:val="00DD3EF9"/>
    <w:rsid w:val="00DD5F9D"/>
    <w:rsid w:val="00DD7BF6"/>
    <w:rsid w:val="00DE286A"/>
    <w:rsid w:val="00DE293C"/>
    <w:rsid w:val="00DE6769"/>
    <w:rsid w:val="00DE7055"/>
    <w:rsid w:val="00DE7C90"/>
    <w:rsid w:val="00DF423B"/>
    <w:rsid w:val="00DF4250"/>
    <w:rsid w:val="00DF4565"/>
    <w:rsid w:val="00DF4B51"/>
    <w:rsid w:val="00DF642E"/>
    <w:rsid w:val="00DF6E2E"/>
    <w:rsid w:val="00DF757F"/>
    <w:rsid w:val="00E0158A"/>
    <w:rsid w:val="00E10FB5"/>
    <w:rsid w:val="00E11070"/>
    <w:rsid w:val="00E123A6"/>
    <w:rsid w:val="00E143E2"/>
    <w:rsid w:val="00E144BF"/>
    <w:rsid w:val="00E14571"/>
    <w:rsid w:val="00E14F24"/>
    <w:rsid w:val="00E179F2"/>
    <w:rsid w:val="00E20F65"/>
    <w:rsid w:val="00E226F8"/>
    <w:rsid w:val="00E23C7A"/>
    <w:rsid w:val="00E26C0F"/>
    <w:rsid w:val="00E274D4"/>
    <w:rsid w:val="00E27C77"/>
    <w:rsid w:val="00E3509A"/>
    <w:rsid w:val="00E36029"/>
    <w:rsid w:val="00E36283"/>
    <w:rsid w:val="00E376A9"/>
    <w:rsid w:val="00E41D99"/>
    <w:rsid w:val="00E51869"/>
    <w:rsid w:val="00E52DC4"/>
    <w:rsid w:val="00E53301"/>
    <w:rsid w:val="00E54860"/>
    <w:rsid w:val="00E55A22"/>
    <w:rsid w:val="00E564B1"/>
    <w:rsid w:val="00E57843"/>
    <w:rsid w:val="00E70E18"/>
    <w:rsid w:val="00E72324"/>
    <w:rsid w:val="00E7271E"/>
    <w:rsid w:val="00E740AF"/>
    <w:rsid w:val="00E76C01"/>
    <w:rsid w:val="00E80410"/>
    <w:rsid w:val="00E81F75"/>
    <w:rsid w:val="00E8247D"/>
    <w:rsid w:val="00E8575B"/>
    <w:rsid w:val="00E86A0A"/>
    <w:rsid w:val="00E93755"/>
    <w:rsid w:val="00E9479B"/>
    <w:rsid w:val="00E95B18"/>
    <w:rsid w:val="00E95EE8"/>
    <w:rsid w:val="00E9759D"/>
    <w:rsid w:val="00E97654"/>
    <w:rsid w:val="00EA2434"/>
    <w:rsid w:val="00EA2CD2"/>
    <w:rsid w:val="00EA3BE0"/>
    <w:rsid w:val="00EA3E16"/>
    <w:rsid w:val="00EA4469"/>
    <w:rsid w:val="00EA4AED"/>
    <w:rsid w:val="00EA734D"/>
    <w:rsid w:val="00EA7DA5"/>
    <w:rsid w:val="00EB1B74"/>
    <w:rsid w:val="00EB1C99"/>
    <w:rsid w:val="00EB1E14"/>
    <w:rsid w:val="00EB243F"/>
    <w:rsid w:val="00EC008B"/>
    <w:rsid w:val="00EC383D"/>
    <w:rsid w:val="00EC497E"/>
    <w:rsid w:val="00ED05E7"/>
    <w:rsid w:val="00ED1D29"/>
    <w:rsid w:val="00ED4C05"/>
    <w:rsid w:val="00ED4C94"/>
    <w:rsid w:val="00ED78C5"/>
    <w:rsid w:val="00EE0634"/>
    <w:rsid w:val="00EE1EFB"/>
    <w:rsid w:val="00EE359E"/>
    <w:rsid w:val="00EE47C9"/>
    <w:rsid w:val="00EE5925"/>
    <w:rsid w:val="00F01A37"/>
    <w:rsid w:val="00F01F3A"/>
    <w:rsid w:val="00F03025"/>
    <w:rsid w:val="00F042C5"/>
    <w:rsid w:val="00F04617"/>
    <w:rsid w:val="00F05147"/>
    <w:rsid w:val="00F071D6"/>
    <w:rsid w:val="00F111F3"/>
    <w:rsid w:val="00F11CED"/>
    <w:rsid w:val="00F16D6B"/>
    <w:rsid w:val="00F174E3"/>
    <w:rsid w:val="00F26542"/>
    <w:rsid w:val="00F30594"/>
    <w:rsid w:val="00F34A77"/>
    <w:rsid w:val="00F372EC"/>
    <w:rsid w:val="00F40E95"/>
    <w:rsid w:val="00F42D73"/>
    <w:rsid w:val="00F44731"/>
    <w:rsid w:val="00F473F5"/>
    <w:rsid w:val="00F523AA"/>
    <w:rsid w:val="00F52820"/>
    <w:rsid w:val="00F52DD1"/>
    <w:rsid w:val="00F61AC0"/>
    <w:rsid w:val="00F6307C"/>
    <w:rsid w:val="00F65372"/>
    <w:rsid w:val="00F72DC7"/>
    <w:rsid w:val="00F73723"/>
    <w:rsid w:val="00F75FEE"/>
    <w:rsid w:val="00F81B3A"/>
    <w:rsid w:val="00F84197"/>
    <w:rsid w:val="00F9015E"/>
    <w:rsid w:val="00F9156D"/>
    <w:rsid w:val="00F9209B"/>
    <w:rsid w:val="00F93D4F"/>
    <w:rsid w:val="00FA1C01"/>
    <w:rsid w:val="00FA309D"/>
    <w:rsid w:val="00FA3EE6"/>
    <w:rsid w:val="00FB0D56"/>
    <w:rsid w:val="00FB21A3"/>
    <w:rsid w:val="00FB2B55"/>
    <w:rsid w:val="00FB46F9"/>
    <w:rsid w:val="00FB671C"/>
    <w:rsid w:val="00FB7D5D"/>
    <w:rsid w:val="00FC7141"/>
    <w:rsid w:val="00FC79E1"/>
    <w:rsid w:val="00FD1934"/>
    <w:rsid w:val="00FD213B"/>
    <w:rsid w:val="00FD4080"/>
    <w:rsid w:val="00FD4264"/>
    <w:rsid w:val="00FD48C0"/>
    <w:rsid w:val="00FD6059"/>
    <w:rsid w:val="00FD7FF9"/>
    <w:rsid w:val="00FE3110"/>
    <w:rsid w:val="00FE37C1"/>
    <w:rsid w:val="00FE3EFB"/>
    <w:rsid w:val="00FE5003"/>
    <w:rsid w:val="00FE6037"/>
    <w:rsid w:val="00FE7238"/>
    <w:rsid w:val="00FF720F"/>
    <w:rsid w:val="00FF79D8"/>
    <w:rsid w:val="03F74936"/>
    <w:rsid w:val="04D00FD5"/>
    <w:rsid w:val="06975823"/>
    <w:rsid w:val="06E82C03"/>
    <w:rsid w:val="07603FC1"/>
    <w:rsid w:val="0A67211C"/>
    <w:rsid w:val="10C40C7A"/>
    <w:rsid w:val="1ADA4C23"/>
    <w:rsid w:val="200D13CA"/>
    <w:rsid w:val="20B822FD"/>
    <w:rsid w:val="34D16971"/>
    <w:rsid w:val="36670DB5"/>
    <w:rsid w:val="36C063DA"/>
    <w:rsid w:val="38521E38"/>
    <w:rsid w:val="3C9C66B4"/>
    <w:rsid w:val="3EF95769"/>
    <w:rsid w:val="3F8070D0"/>
    <w:rsid w:val="40197AD0"/>
    <w:rsid w:val="41E53143"/>
    <w:rsid w:val="423D7D4A"/>
    <w:rsid w:val="47A66166"/>
    <w:rsid w:val="4F2B204C"/>
    <w:rsid w:val="57E04D37"/>
    <w:rsid w:val="58571A59"/>
    <w:rsid w:val="5ABF0145"/>
    <w:rsid w:val="5BA80076"/>
    <w:rsid w:val="5C940AA4"/>
    <w:rsid w:val="5FB531D3"/>
    <w:rsid w:val="607F676F"/>
    <w:rsid w:val="61754D82"/>
    <w:rsid w:val="67E15AC8"/>
    <w:rsid w:val="69C521D3"/>
    <w:rsid w:val="6DA469C9"/>
    <w:rsid w:val="76697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link w:val="61"/>
    <w:qFormat/>
    <w:uiPriority w:val="0"/>
    <w:pPr>
      <w:keepNext/>
      <w:keepLines/>
      <w:spacing w:before="340" w:after="330" w:line="578" w:lineRule="auto"/>
      <w:outlineLvl w:val="0"/>
    </w:pPr>
    <w:rPr>
      <w:rFonts w:ascii="Times New Roman" w:hAnsi="Times New Roman"/>
      <w:b/>
      <w:bCs/>
      <w:kern w:val="44"/>
      <w:sz w:val="44"/>
      <w:szCs w:val="44"/>
    </w:rPr>
  </w:style>
  <w:style w:type="paragraph" w:styleId="7">
    <w:name w:val="heading 2"/>
    <w:basedOn w:val="1"/>
    <w:next w:val="1"/>
    <w:link w:val="62"/>
    <w:unhideWhenUsed/>
    <w:qFormat/>
    <w:uiPriority w:val="0"/>
    <w:pPr>
      <w:keepNext/>
      <w:keepLines/>
      <w:spacing w:before="260" w:after="260" w:line="416" w:lineRule="auto"/>
      <w:outlineLvl w:val="1"/>
    </w:pPr>
    <w:rPr>
      <w:rFonts w:ascii="Cambria" w:hAnsi="Cambria"/>
      <w:b/>
      <w:bCs/>
      <w:sz w:val="32"/>
      <w:szCs w:val="32"/>
    </w:rPr>
  </w:style>
  <w:style w:type="paragraph" w:styleId="8">
    <w:name w:val="heading 3"/>
    <w:basedOn w:val="1"/>
    <w:next w:val="1"/>
    <w:link w:val="63"/>
    <w:unhideWhenUsed/>
    <w:qFormat/>
    <w:uiPriority w:val="0"/>
    <w:pPr>
      <w:keepNext/>
      <w:keepLines/>
      <w:spacing w:before="260" w:after="260" w:line="416" w:lineRule="auto"/>
      <w:outlineLvl w:val="2"/>
    </w:pPr>
    <w:rPr>
      <w:b/>
      <w:bCs/>
      <w:sz w:val="32"/>
      <w:szCs w:val="32"/>
    </w:rPr>
  </w:style>
  <w:style w:type="paragraph" w:styleId="9">
    <w:name w:val="heading 4"/>
    <w:basedOn w:val="1"/>
    <w:next w:val="1"/>
    <w:link w:val="64"/>
    <w:qFormat/>
    <w:uiPriority w:val="0"/>
    <w:pPr>
      <w:autoSpaceDE w:val="0"/>
      <w:autoSpaceDN w:val="0"/>
      <w:adjustRightInd w:val="0"/>
      <w:spacing w:line="360" w:lineRule="auto"/>
      <w:textAlignment w:val="baseline"/>
      <w:outlineLvl w:val="3"/>
    </w:pPr>
    <w:rPr>
      <w:rFonts w:ascii="Arial" w:hAnsi="Arial"/>
      <w:sz w:val="24"/>
      <w:szCs w:val="24"/>
    </w:rPr>
  </w:style>
  <w:style w:type="paragraph" w:styleId="10">
    <w:name w:val="heading 5"/>
    <w:basedOn w:val="1"/>
    <w:next w:val="11"/>
    <w:link w:val="66"/>
    <w:qFormat/>
    <w:uiPriority w:val="0"/>
    <w:pPr>
      <w:keepNext/>
      <w:keepLines/>
      <w:adjustRightInd w:val="0"/>
      <w:spacing w:line="360" w:lineRule="auto"/>
      <w:textAlignment w:val="baseline"/>
      <w:outlineLvl w:val="4"/>
    </w:pPr>
    <w:rPr>
      <w:rFonts w:ascii="Times New Roman" w:hAnsi="Times New Roman"/>
      <w:sz w:val="28"/>
      <w:szCs w:val="24"/>
    </w:rPr>
  </w:style>
  <w:style w:type="paragraph" w:styleId="12">
    <w:name w:val="heading 6"/>
    <w:basedOn w:val="1"/>
    <w:next w:val="1"/>
    <w:link w:val="67"/>
    <w:qFormat/>
    <w:uiPriority w:val="0"/>
    <w:pPr>
      <w:tabs>
        <w:tab w:val="left" w:pos="0"/>
      </w:tabs>
      <w:adjustRightInd w:val="0"/>
      <w:spacing w:line="460" w:lineRule="exact"/>
      <w:ind w:left="425" w:hanging="425"/>
      <w:jc w:val="left"/>
      <w:textAlignment w:val="baseline"/>
      <w:outlineLvl w:val="5"/>
    </w:pPr>
    <w:rPr>
      <w:rFonts w:ascii="Times New Roman" w:hAnsi="Times New Roman"/>
      <w:sz w:val="24"/>
      <w:szCs w:val="24"/>
    </w:rPr>
  </w:style>
  <w:style w:type="paragraph" w:styleId="13">
    <w:name w:val="heading 7"/>
    <w:basedOn w:val="1"/>
    <w:next w:val="1"/>
    <w:link w:val="68"/>
    <w:qFormat/>
    <w:uiPriority w:val="0"/>
    <w:pPr>
      <w:tabs>
        <w:tab w:val="left" w:pos="0"/>
      </w:tabs>
      <w:adjustRightInd w:val="0"/>
      <w:spacing w:line="460" w:lineRule="exact"/>
      <w:ind w:left="425" w:hanging="425"/>
      <w:jc w:val="left"/>
      <w:textAlignment w:val="baseline"/>
      <w:outlineLvl w:val="6"/>
    </w:pPr>
    <w:rPr>
      <w:rFonts w:ascii="Times New Roman" w:hAnsi="Times New Roman"/>
      <w:sz w:val="24"/>
      <w:szCs w:val="24"/>
    </w:rPr>
  </w:style>
  <w:style w:type="paragraph" w:styleId="14">
    <w:name w:val="heading 8"/>
    <w:basedOn w:val="1"/>
    <w:next w:val="1"/>
    <w:link w:val="69"/>
    <w:qFormat/>
    <w:uiPriority w:val="0"/>
    <w:pPr>
      <w:tabs>
        <w:tab w:val="left" w:pos="0"/>
      </w:tabs>
      <w:adjustRightInd w:val="0"/>
      <w:spacing w:line="460" w:lineRule="exact"/>
      <w:ind w:left="425" w:hanging="425"/>
      <w:jc w:val="left"/>
      <w:textAlignment w:val="baseline"/>
      <w:outlineLvl w:val="7"/>
    </w:pPr>
    <w:rPr>
      <w:rFonts w:ascii="Times New Roman" w:hAnsi="Times New Roman"/>
      <w:sz w:val="24"/>
      <w:szCs w:val="24"/>
    </w:rPr>
  </w:style>
  <w:style w:type="paragraph" w:styleId="15">
    <w:name w:val="heading 9"/>
    <w:basedOn w:val="1"/>
    <w:next w:val="1"/>
    <w:link w:val="70"/>
    <w:qFormat/>
    <w:uiPriority w:val="0"/>
    <w:pPr>
      <w:keepNext/>
      <w:keepLines/>
      <w:tabs>
        <w:tab w:val="left" w:pos="0"/>
      </w:tabs>
      <w:adjustRightInd w:val="0"/>
      <w:spacing w:before="240" w:after="64" w:line="320" w:lineRule="atLeast"/>
      <w:ind w:left="425" w:hanging="425"/>
      <w:jc w:val="left"/>
      <w:textAlignment w:val="baseline"/>
      <w:outlineLvl w:val="8"/>
    </w:pPr>
    <w:rPr>
      <w:rFonts w:ascii="Arial" w:hAnsi="Arial" w:eastAsia="黑体"/>
      <w:sz w:val="24"/>
      <w:szCs w:val="24"/>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bCs/>
      <w:kern w:val="28"/>
      <w:szCs w:val="24"/>
    </w:rPr>
  </w:style>
  <w:style w:type="paragraph" w:styleId="3">
    <w:name w:val="Body Text Indent"/>
    <w:basedOn w:val="1"/>
    <w:next w:val="4"/>
    <w:link w:val="103"/>
    <w:qFormat/>
    <w:uiPriority w:val="0"/>
    <w:pPr>
      <w:spacing w:line="440" w:lineRule="exact"/>
      <w:ind w:firstLine="480" w:firstLineChars="200"/>
      <w:jc w:val="left"/>
    </w:pPr>
    <w:rPr>
      <w:sz w:val="24"/>
      <w:szCs w:val="24"/>
    </w:rPr>
  </w:style>
  <w:style w:type="paragraph" w:customStyle="1" w:styleId="4">
    <w:name w:val="p16"/>
    <w:basedOn w:val="1"/>
    <w:next w:val="5"/>
    <w:qFormat/>
    <w:uiPriority w:val="0"/>
    <w:pPr>
      <w:widowControl/>
      <w:spacing w:after="120"/>
    </w:pPr>
    <w:rPr>
      <w:rFonts w:eastAsia="仿宋_GB2312"/>
      <w:kern w:val="0"/>
      <w:sz w:val="28"/>
      <w:szCs w:val="21"/>
    </w:rPr>
  </w:style>
  <w:style w:type="paragraph" w:styleId="5">
    <w:name w:val="toc 2"/>
    <w:basedOn w:val="1"/>
    <w:next w:val="1"/>
    <w:qFormat/>
    <w:uiPriority w:val="39"/>
    <w:pPr>
      <w:ind w:left="210"/>
      <w:jc w:val="left"/>
    </w:pPr>
    <w:rPr>
      <w:rFonts w:ascii="Times New Roman" w:hAnsi="Times New Roman"/>
      <w:smallCaps/>
      <w:sz w:val="20"/>
      <w:szCs w:val="20"/>
    </w:rPr>
  </w:style>
  <w:style w:type="paragraph" w:styleId="11">
    <w:name w:val="Normal Indent"/>
    <w:basedOn w:val="1"/>
    <w:link w:val="65"/>
    <w:qFormat/>
    <w:uiPriority w:val="0"/>
    <w:pPr>
      <w:ind w:firstLine="420" w:firstLineChars="200"/>
    </w:pPr>
    <w:rPr>
      <w:rFonts w:ascii="Times New Roman" w:hAnsi="Times New Roman"/>
      <w:szCs w:val="24"/>
    </w:rPr>
  </w:style>
  <w:style w:type="paragraph" w:styleId="16">
    <w:name w:val="toc 7"/>
    <w:basedOn w:val="1"/>
    <w:next w:val="1"/>
    <w:qFormat/>
    <w:uiPriority w:val="0"/>
    <w:pPr>
      <w:ind w:left="1260"/>
      <w:jc w:val="left"/>
    </w:pPr>
    <w:rPr>
      <w:rFonts w:ascii="Times New Roman" w:hAnsi="Times New Roman"/>
      <w:sz w:val="18"/>
      <w:szCs w:val="18"/>
    </w:rPr>
  </w:style>
  <w:style w:type="paragraph" w:styleId="17">
    <w:name w:val="index 8"/>
    <w:basedOn w:val="1"/>
    <w:next w:val="1"/>
    <w:qFormat/>
    <w:uiPriority w:val="0"/>
    <w:pPr>
      <w:ind w:left="1400" w:leftChars="1400"/>
    </w:pPr>
    <w:rPr>
      <w:rFonts w:ascii="Times New Roman" w:hAnsi="Times New Roman"/>
      <w:szCs w:val="24"/>
    </w:rPr>
  </w:style>
  <w:style w:type="paragraph" w:styleId="18">
    <w:name w:val="caption"/>
    <w:basedOn w:val="1"/>
    <w:next w:val="1"/>
    <w:qFormat/>
    <w:uiPriority w:val="0"/>
    <w:rPr>
      <w:rFonts w:ascii="Arial" w:hAnsi="Arial" w:eastAsia="黑体" w:cs="Arial"/>
      <w:sz w:val="20"/>
      <w:szCs w:val="20"/>
    </w:rPr>
  </w:style>
  <w:style w:type="paragraph" w:styleId="19">
    <w:name w:val="index 5"/>
    <w:basedOn w:val="1"/>
    <w:next w:val="1"/>
    <w:qFormat/>
    <w:uiPriority w:val="0"/>
    <w:pPr>
      <w:ind w:left="800" w:leftChars="800"/>
    </w:pPr>
    <w:rPr>
      <w:rFonts w:ascii="Times New Roman" w:hAnsi="Times New Roman"/>
      <w:szCs w:val="24"/>
    </w:rPr>
  </w:style>
  <w:style w:type="paragraph" w:styleId="20">
    <w:name w:val="Document Map"/>
    <w:basedOn w:val="1"/>
    <w:link w:val="120"/>
    <w:qFormat/>
    <w:uiPriority w:val="0"/>
    <w:pPr>
      <w:shd w:val="clear" w:color="auto" w:fill="000080"/>
    </w:pPr>
    <w:rPr>
      <w:rFonts w:ascii="Times New Roman" w:hAnsi="Times New Roman"/>
      <w:szCs w:val="24"/>
    </w:rPr>
  </w:style>
  <w:style w:type="paragraph" w:styleId="21">
    <w:name w:val="toa heading"/>
    <w:basedOn w:val="1"/>
    <w:next w:val="1"/>
    <w:qFormat/>
    <w:uiPriority w:val="0"/>
    <w:pPr>
      <w:widowControl/>
      <w:spacing w:before="120"/>
      <w:jc w:val="left"/>
    </w:pPr>
    <w:rPr>
      <w:rFonts w:ascii="Arial" w:hAnsi="Arial" w:cs="Arial"/>
      <w:kern w:val="0"/>
      <w:sz w:val="24"/>
      <w:szCs w:val="24"/>
    </w:rPr>
  </w:style>
  <w:style w:type="paragraph" w:styleId="22">
    <w:name w:val="annotation text"/>
    <w:basedOn w:val="1"/>
    <w:link w:val="91"/>
    <w:qFormat/>
    <w:uiPriority w:val="0"/>
    <w:pPr>
      <w:adjustRightInd w:val="0"/>
      <w:spacing w:line="480" w:lineRule="exact"/>
      <w:jc w:val="left"/>
      <w:textAlignment w:val="baseline"/>
    </w:pPr>
    <w:rPr>
      <w:rFonts w:ascii="宋体"/>
      <w:kern w:val="0"/>
      <w:sz w:val="28"/>
      <w:szCs w:val="20"/>
    </w:rPr>
  </w:style>
  <w:style w:type="paragraph" w:styleId="23">
    <w:name w:val="index 6"/>
    <w:basedOn w:val="1"/>
    <w:next w:val="1"/>
    <w:qFormat/>
    <w:uiPriority w:val="0"/>
    <w:pPr>
      <w:ind w:left="1000" w:leftChars="1000"/>
    </w:pPr>
    <w:rPr>
      <w:rFonts w:ascii="Times New Roman" w:hAnsi="Times New Roman"/>
      <w:szCs w:val="24"/>
    </w:rPr>
  </w:style>
  <w:style w:type="paragraph" w:styleId="24">
    <w:name w:val="Body Text 3"/>
    <w:basedOn w:val="1"/>
    <w:link w:val="132"/>
    <w:qFormat/>
    <w:uiPriority w:val="0"/>
    <w:pPr>
      <w:spacing w:after="120"/>
    </w:pPr>
    <w:rPr>
      <w:rFonts w:ascii="Times New Roman" w:hAnsi="Times New Roman"/>
      <w:sz w:val="16"/>
      <w:szCs w:val="20"/>
    </w:rPr>
  </w:style>
  <w:style w:type="paragraph" w:styleId="25">
    <w:name w:val="Body Text"/>
    <w:basedOn w:val="1"/>
    <w:link w:val="82"/>
    <w:qFormat/>
    <w:uiPriority w:val="0"/>
    <w:pPr>
      <w:spacing w:after="120"/>
    </w:pPr>
    <w:rPr>
      <w:rFonts w:ascii="Times New Roman" w:hAnsi="Times New Roman"/>
      <w:szCs w:val="24"/>
    </w:rPr>
  </w:style>
  <w:style w:type="paragraph" w:styleId="26">
    <w:name w:val="Block Text"/>
    <w:basedOn w:val="1"/>
    <w:qFormat/>
    <w:uiPriority w:val="0"/>
    <w:pPr>
      <w:ind w:right="-673" w:rightChars="-673"/>
    </w:pPr>
    <w:rPr>
      <w:sz w:val="30"/>
      <w:szCs w:val="24"/>
    </w:rPr>
  </w:style>
  <w:style w:type="paragraph" w:styleId="27">
    <w:name w:val="index 4"/>
    <w:basedOn w:val="1"/>
    <w:next w:val="1"/>
    <w:qFormat/>
    <w:uiPriority w:val="0"/>
    <w:pPr>
      <w:ind w:left="600" w:leftChars="600"/>
    </w:pPr>
    <w:rPr>
      <w:rFonts w:ascii="Times New Roman" w:hAnsi="Times New Roman"/>
      <w:szCs w:val="24"/>
    </w:rPr>
  </w:style>
  <w:style w:type="paragraph" w:styleId="28">
    <w:name w:val="toc 5"/>
    <w:basedOn w:val="1"/>
    <w:next w:val="1"/>
    <w:qFormat/>
    <w:uiPriority w:val="0"/>
    <w:pPr>
      <w:ind w:left="840"/>
      <w:jc w:val="left"/>
    </w:pPr>
    <w:rPr>
      <w:rFonts w:ascii="Times New Roman" w:hAnsi="Times New Roman"/>
      <w:sz w:val="18"/>
      <w:szCs w:val="18"/>
    </w:rPr>
  </w:style>
  <w:style w:type="paragraph" w:styleId="29">
    <w:name w:val="toc 3"/>
    <w:basedOn w:val="1"/>
    <w:next w:val="1"/>
    <w:qFormat/>
    <w:uiPriority w:val="39"/>
    <w:pPr>
      <w:ind w:left="420"/>
      <w:jc w:val="left"/>
    </w:pPr>
    <w:rPr>
      <w:rFonts w:ascii="Times New Roman" w:hAnsi="Times New Roman"/>
      <w:i/>
      <w:iCs/>
      <w:sz w:val="20"/>
      <w:szCs w:val="20"/>
    </w:rPr>
  </w:style>
  <w:style w:type="paragraph" w:styleId="30">
    <w:name w:val="Plain Text"/>
    <w:basedOn w:val="1"/>
    <w:link w:val="79"/>
    <w:qFormat/>
    <w:uiPriority w:val="0"/>
    <w:rPr>
      <w:rFonts w:ascii="宋体" w:hAnsi="Courier New"/>
      <w:sz w:val="28"/>
      <w:szCs w:val="20"/>
    </w:rPr>
  </w:style>
  <w:style w:type="paragraph" w:styleId="31">
    <w:name w:val="toc 8"/>
    <w:basedOn w:val="1"/>
    <w:next w:val="1"/>
    <w:qFormat/>
    <w:uiPriority w:val="0"/>
    <w:pPr>
      <w:ind w:left="1470"/>
      <w:jc w:val="left"/>
    </w:pPr>
    <w:rPr>
      <w:rFonts w:ascii="Times New Roman" w:hAnsi="Times New Roman"/>
      <w:sz w:val="18"/>
      <w:szCs w:val="18"/>
    </w:rPr>
  </w:style>
  <w:style w:type="paragraph" w:styleId="32">
    <w:name w:val="index 3"/>
    <w:basedOn w:val="1"/>
    <w:next w:val="1"/>
    <w:qFormat/>
    <w:uiPriority w:val="0"/>
    <w:pPr>
      <w:ind w:left="400" w:leftChars="400"/>
    </w:pPr>
    <w:rPr>
      <w:rFonts w:ascii="Times New Roman" w:hAnsi="Times New Roman"/>
      <w:szCs w:val="24"/>
    </w:rPr>
  </w:style>
  <w:style w:type="paragraph" w:styleId="33">
    <w:name w:val="Date"/>
    <w:basedOn w:val="1"/>
    <w:next w:val="1"/>
    <w:link w:val="80"/>
    <w:unhideWhenUsed/>
    <w:qFormat/>
    <w:uiPriority w:val="99"/>
    <w:pPr>
      <w:ind w:left="100" w:leftChars="2500"/>
    </w:pPr>
  </w:style>
  <w:style w:type="paragraph" w:styleId="34">
    <w:name w:val="Body Text Indent 2"/>
    <w:basedOn w:val="1"/>
    <w:link w:val="101"/>
    <w:qFormat/>
    <w:uiPriority w:val="0"/>
    <w:pPr>
      <w:spacing w:line="440" w:lineRule="exact"/>
      <w:ind w:firstLine="570"/>
    </w:pPr>
    <w:rPr>
      <w:rFonts w:ascii="宋体" w:hAnsi="宋体"/>
      <w:sz w:val="24"/>
      <w:szCs w:val="24"/>
    </w:rPr>
  </w:style>
  <w:style w:type="paragraph" w:styleId="35">
    <w:name w:val="Balloon Text"/>
    <w:basedOn w:val="1"/>
    <w:link w:val="77"/>
    <w:unhideWhenUsed/>
    <w:qFormat/>
    <w:uiPriority w:val="99"/>
    <w:rPr>
      <w:sz w:val="18"/>
      <w:szCs w:val="18"/>
    </w:rPr>
  </w:style>
  <w:style w:type="paragraph" w:styleId="36">
    <w:name w:val="footer"/>
    <w:basedOn w:val="1"/>
    <w:link w:val="72"/>
    <w:unhideWhenUsed/>
    <w:qFormat/>
    <w:uiPriority w:val="99"/>
    <w:pPr>
      <w:tabs>
        <w:tab w:val="center" w:pos="4153"/>
        <w:tab w:val="right" w:pos="8306"/>
      </w:tabs>
      <w:snapToGrid w:val="0"/>
      <w:jc w:val="left"/>
    </w:pPr>
    <w:rPr>
      <w:sz w:val="18"/>
      <w:szCs w:val="18"/>
    </w:rPr>
  </w:style>
  <w:style w:type="paragraph" w:styleId="37">
    <w:name w:val="header"/>
    <w:basedOn w:val="1"/>
    <w:link w:val="71"/>
    <w:unhideWhenUsed/>
    <w:qFormat/>
    <w:uiPriority w:val="99"/>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0"/>
    <w:pPr>
      <w:spacing w:before="120" w:after="120"/>
      <w:jc w:val="left"/>
    </w:pPr>
    <w:rPr>
      <w:rFonts w:ascii="Times New Roman" w:hAnsi="Times New Roman"/>
      <w:b/>
      <w:bCs/>
      <w:caps/>
      <w:sz w:val="20"/>
      <w:szCs w:val="20"/>
    </w:rPr>
  </w:style>
  <w:style w:type="paragraph" w:styleId="39">
    <w:name w:val="toc 4"/>
    <w:basedOn w:val="1"/>
    <w:next w:val="1"/>
    <w:qFormat/>
    <w:uiPriority w:val="0"/>
    <w:pPr>
      <w:ind w:left="630"/>
      <w:jc w:val="left"/>
    </w:pPr>
    <w:rPr>
      <w:rFonts w:ascii="Times New Roman" w:hAnsi="Times New Roman"/>
      <w:sz w:val="18"/>
      <w:szCs w:val="18"/>
    </w:rPr>
  </w:style>
  <w:style w:type="paragraph" w:styleId="40">
    <w:name w:val="index heading"/>
    <w:basedOn w:val="1"/>
    <w:next w:val="41"/>
    <w:qFormat/>
    <w:uiPriority w:val="0"/>
    <w:rPr>
      <w:rFonts w:ascii="Times New Roman" w:hAnsi="Times New Roman"/>
      <w:szCs w:val="24"/>
    </w:rPr>
  </w:style>
  <w:style w:type="paragraph" w:styleId="41">
    <w:name w:val="index 1"/>
    <w:basedOn w:val="1"/>
    <w:next w:val="1"/>
    <w:qFormat/>
    <w:uiPriority w:val="0"/>
    <w:rPr>
      <w:rFonts w:ascii="Times New Roman" w:hAnsi="Times New Roman"/>
      <w:szCs w:val="24"/>
    </w:rPr>
  </w:style>
  <w:style w:type="paragraph" w:styleId="42">
    <w:name w:val="Subtitle"/>
    <w:basedOn w:val="1"/>
    <w:next w:val="1"/>
    <w:link w:val="88"/>
    <w:qFormat/>
    <w:uiPriority w:val="0"/>
    <w:pPr>
      <w:jc w:val="left"/>
      <w:outlineLvl w:val="1"/>
    </w:pPr>
    <w:rPr>
      <w:rFonts w:ascii="Cambria" w:hAnsi="Cambria"/>
      <w:b/>
      <w:bCs/>
      <w:kern w:val="28"/>
      <w:sz w:val="28"/>
      <w:szCs w:val="32"/>
    </w:rPr>
  </w:style>
  <w:style w:type="paragraph" w:styleId="43">
    <w:name w:val="toc 6"/>
    <w:basedOn w:val="1"/>
    <w:next w:val="1"/>
    <w:qFormat/>
    <w:uiPriority w:val="0"/>
    <w:pPr>
      <w:ind w:left="1050"/>
      <w:jc w:val="left"/>
    </w:pPr>
    <w:rPr>
      <w:rFonts w:ascii="Times New Roman" w:hAnsi="Times New Roman"/>
      <w:sz w:val="18"/>
      <w:szCs w:val="18"/>
    </w:rPr>
  </w:style>
  <w:style w:type="paragraph" w:styleId="44">
    <w:name w:val="Body Text Indent 3"/>
    <w:basedOn w:val="1"/>
    <w:link w:val="96"/>
    <w:qFormat/>
    <w:uiPriority w:val="0"/>
    <w:pPr>
      <w:spacing w:line="520" w:lineRule="exact"/>
      <w:ind w:firstLine="480" w:firstLineChars="200"/>
    </w:pPr>
    <w:rPr>
      <w:rFonts w:ascii="宋体" w:hAnsi="宋体"/>
      <w:sz w:val="24"/>
      <w:szCs w:val="24"/>
    </w:rPr>
  </w:style>
  <w:style w:type="paragraph" w:styleId="45">
    <w:name w:val="index 7"/>
    <w:basedOn w:val="1"/>
    <w:next w:val="1"/>
    <w:qFormat/>
    <w:uiPriority w:val="0"/>
    <w:pPr>
      <w:ind w:left="1200" w:leftChars="1200"/>
    </w:pPr>
    <w:rPr>
      <w:rFonts w:ascii="Times New Roman" w:hAnsi="Times New Roman"/>
      <w:szCs w:val="24"/>
    </w:rPr>
  </w:style>
  <w:style w:type="paragraph" w:styleId="46">
    <w:name w:val="index 9"/>
    <w:basedOn w:val="1"/>
    <w:next w:val="1"/>
    <w:qFormat/>
    <w:uiPriority w:val="0"/>
    <w:pPr>
      <w:ind w:left="1600" w:leftChars="1600"/>
    </w:pPr>
    <w:rPr>
      <w:rFonts w:ascii="Times New Roman" w:hAnsi="Times New Roman"/>
      <w:szCs w:val="24"/>
    </w:rPr>
  </w:style>
  <w:style w:type="paragraph" w:styleId="47">
    <w:name w:val="toc 9"/>
    <w:basedOn w:val="1"/>
    <w:next w:val="1"/>
    <w:qFormat/>
    <w:uiPriority w:val="0"/>
    <w:pPr>
      <w:ind w:left="1680"/>
      <w:jc w:val="left"/>
    </w:pPr>
    <w:rPr>
      <w:rFonts w:ascii="Times New Roman" w:hAnsi="Times New Roman"/>
      <w:sz w:val="18"/>
      <w:szCs w:val="18"/>
    </w:rPr>
  </w:style>
  <w:style w:type="paragraph" w:styleId="48">
    <w:name w:val="Body Text 2"/>
    <w:basedOn w:val="1"/>
    <w:link w:val="99"/>
    <w:qFormat/>
    <w:uiPriority w:val="0"/>
    <w:pPr>
      <w:snapToGrid w:val="0"/>
      <w:spacing w:line="360" w:lineRule="auto"/>
    </w:pPr>
    <w:rPr>
      <w:rFonts w:ascii="FangSong_GB2312" w:hAnsi="宋体" w:eastAsia="FangSong_GB2312"/>
      <w:b/>
      <w:bCs/>
      <w:color w:val="FF0000"/>
      <w:sz w:val="24"/>
      <w:szCs w:val="24"/>
    </w:rPr>
  </w:style>
  <w:style w:type="paragraph" w:styleId="49">
    <w:name w:val="Normal (Web)"/>
    <w:basedOn w:val="1"/>
    <w:link w:val="81"/>
    <w:qFormat/>
    <w:uiPriority w:val="99"/>
    <w:pPr>
      <w:widowControl/>
      <w:spacing w:before="100" w:beforeAutospacing="1" w:after="100" w:afterAutospacing="1"/>
      <w:jc w:val="left"/>
    </w:pPr>
    <w:rPr>
      <w:rFonts w:ascii="宋体" w:hAnsi="宋体" w:cs="宋体"/>
      <w:kern w:val="0"/>
      <w:sz w:val="24"/>
      <w:szCs w:val="24"/>
    </w:rPr>
  </w:style>
  <w:style w:type="paragraph" w:styleId="50">
    <w:name w:val="index 2"/>
    <w:basedOn w:val="1"/>
    <w:next w:val="1"/>
    <w:qFormat/>
    <w:uiPriority w:val="0"/>
    <w:pPr>
      <w:ind w:left="200" w:leftChars="200"/>
    </w:pPr>
    <w:rPr>
      <w:rFonts w:ascii="Times New Roman" w:hAnsi="Times New Roman"/>
      <w:szCs w:val="24"/>
    </w:rPr>
  </w:style>
  <w:style w:type="paragraph" w:styleId="51">
    <w:name w:val="Title"/>
    <w:basedOn w:val="1"/>
    <w:next w:val="1"/>
    <w:link w:val="83"/>
    <w:qFormat/>
    <w:uiPriority w:val="0"/>
    <w:pPr>
      <w:spacing w:before="240" w:after="60"/>
      <w:jc w:val="center"/>
      <w:outlineLvl w:val="0"/>
    </w:pPr>
    <w:rPr>
      <w:rFonts w:ascii="Cambria" w:hAnsi="Cambria"/>
      <w:b/>
      <w:bCs/>
      <w:sz w:val="32"/>
      <w:szCs w:val="32"/>
    </w:rPr>
  </w:style>
  <w:style w:type="paragraph" w:styleId="52">
    <w:name w:val="annotation subject"/>
    <w:basedOn w:val="22"/>
    <w:next w:val="22"/>
    <w:link w:val="92"/>
    <w:qFormat/>
    <w:uiPriority w:val="0"/>
    <w:pPr>
      <w:adjustRightInd/>
      <w:spacing w:line="240" w:lineRule="auto"/>
      <w:textAlignment w:val="auto"/>
    </w:pPr>
  </w:style>
  <w:style w:type="paragraph" w:styleId="53">
    <w:name w:val="Body Text First Indent"/>
    <w:basedOn w:val="25"/>
    <w:link w:val="174"/>
    <w:qFormat/>
    <w:uiPriority w:val="0"/>
    <w:pPr>
      <w:ind w:firstLine="420" w:firstLineChars="100"/>
    </w:pPr>
    <w:rPr>
      <w:rFonts w:ascii="Calibri" w:hAnsi="Calibri"/>
    </w:rPr>
  </w:style>
  <w:style w:type="table" w:styleId="55">
    <w:name w:val="Table Grid"/>
    <w:basedOn w:val="5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7">
    <w:name w:val="page number"/>
    <w:basedOn w:val="56"/>
    <w:qFormat/>
    <w:uiPriority w:val="0"/>
  </w:style>
  <w:style w:type="character" w:styleId="58">
    <w:name w:val="FollowedHyperlink"/>
    <w:basedOn w:val="56"/>
    <w:qFormat/>
    <w:uiPriority w:val="0"/>
    <w:rPr>
      <w:color w:val="800080"/>
      <w:u w:val="single"/>
    </w:rPr>
  </w:style>
  <w:style w:type="character" w:styleId="59">
    <w:name w:val="Hyperlink"/>
    <w:basedOn w:val="56"/>
    <w:unhideWhenUsed/>
    <w:qFormat/>
    <w:uiPriority w:val="99"/>
    <w:rPr>
      <w:color w:val="0000FF"/>
      <w:u w:val="single"/>
    </w:rPr>
  </w:style>
  <w:style w:type="character" w:styleId="60">
    <w:name w:val="annotation reference"/>
    <w:basedOn w:val="56"/>
    <w:qFormat/>
    <w:uiPriority w:val="0"/>
    <w:rPr>
      <w:sz w:val="21"/>
    </w:rPr>
  </w:style>
  <w:style w:type="character" w:customStyle="1" w:styleId="61">
    <w:name w:val="标题 1 Char"/>
    <w:basedOn w:val="56"/>
    <w:link w:val="6"/>
    <w:qFormat/>
    <w:uiPriority w:val="0"/>
    <w:rPr>
      <w:rFonts w:ascii="Times New Roman" w:hAnsi="Times New Roman" w:eastAsia="宋体" w:cs="Times New Roman"/>
      <w:b/>
      <w:bCs/>
      <w:kern w:val="44"/>
      <w:sz w:val="44"/>
      <w:szCs w:val="44"/>
    </w:rPr>
  </w:style>
  <w:style w:type="character" w:customStyle="1" w:styleId="62">
    <w:name w:val="标题 2 Char"/>
    <w:basedOn w:val="56"/>
    <w:link w:val="7"/>
    <w:qFormat/>
    <w:uiPriority w:val="0"/>
    <w:rPr>
      <w:rFonts w:ascii="Cambria" w:hAnsi="Cambria" w:eastAsia="宋体" w:cs="Times New Roman"/>
      <w:b/>
      <w:bCs/>
      <w:kern w:val="2"/>
      <w:sz w:val="32"/>
      <w:szCs w:val="32"/>
    </w:rPr>
  </w:style>
  <w:style w:type="character" w:customStyle="1" w:styleId="63">
    <w:name w:val="标题 3 Char"/>
    <w:basedOn w:val="56"/>
    <w:link w:val="8"/>
    <w:qFormat/>
    <w:uiPriority w:val="0"/>
    <w:rPr>
      <w:b/>
      <w:bCs/>
      <w:kern w:val="2"/>
      <w:sz w:val="32"/>
      <w:szCs w:val="32"/>
    </w:rPr>
  </w:style>
  <w:style w:type="character" w:customStyle="1" w:styleId="64">
    <w:name w:val="标题 4 Char"/>
    <w:basedOn w:val="56"/>
    <w:link w:val="9"/>
    <w:qFormat/>
    <w:uiPriority w:val="0"/>
    <w:rPr>
      <w:rFonts w:ascii="Arial" w:hAnsi="Arial"/>
      <w:kern w:val="2"/>
      <w:sz w:val="24"/>
      <w:szCs w:val="24"/>
    </w:rPr>
  </w:style>
  <w:style w:type="character" w:customStyle="1" w:styleId="65">
    <w:name w:val="正文缩进 Char"/>
    <w:link w:val="11"/>
    <w:qFormat/>
    <w:uiPriority w:val="0"/>
    <w:rPr>
      <w:rFonts w:ascii="Times New Roman" w:hAnsi="Times New Roman"/>
      <w:kern w:val="2"/>
      <w:sz w:val="21"/>
      <w:szCs w:val="24"/>
    </w:rPr>
  </w:style>
  <w:style w:type="character" w:customStyle="1" w:styleId="66">
    <w:name w:val="标题 5 Char"/>
    <w:basedOn w:val="56"/>
    <w:link w:val="10"/>
    <w:qFormat/>
    <w:uiPriority w:val="0"/>
    <w:rPr>
      <w:rFonts w:ascii="Times New Roman" w:hAnsi="Times New Roman"/>
      <w:kern w:val="2"/>
      <w:sz w:val="28"/>
      <w:szCs w:val="24"/>
    </w:rPr>
  </w:style>
  <w:style w:type="character" w:customStyle="1" w:styleId="67">
    <w:name w:val="标题 6 Char"/>
    <w:basedOn w:val="56"/>
    <w:link w:val="12"/>
    <w:qFormat/>
    <w:uiPriority w:val="0"/>
    <w:rPr>
      <w:rFonts w:ascii="Times New Roman" w:hAnsi="Times New Roman"/>
      <w:kern w:val="2"/>
      <w:sz w:val="24"/>
      <w:szCs w:val="24"/>
    </w:rPr>
  </w:style>
  <w:style w:type="character" w:customStyle="1" w:styleId="68">
    <w:name w:val="标题 7 Char"/>
    <w:basedOn w:val="56"/>
    <w:link w:val="13"/>
    <w:qFormat/>
    <w:uiPriority w:val="0"/>
    <w:rPr>
      <w:rFonts w:ascii="Times New Roman" w:hAnsi="Times New Roman"/>
      <w:kern w:val="2"/>
      <w:sz w:val="24"/>
      <w:szCs w:val="24"/>
    </w:rPr>
  </w:style>
  <w:style w:type="character" w:customStyle="1" w:styleId="69">
    <w:name w:val="标题 8 Char"/>
    <w:basedOn w:val="56"/>
    <w:link w:val="14"/>
    <w:qFormat/>
    <w:uiPriority w:val="0"/>
    <w:rPr>
      <w:rFonts w:ascii="Times New Roman" w:hAnsi="Times New Roman"/>
      <w:kern w:val="2"/>
      <w:sz w:val="24"/>
      <w:szCs w:val="24"/>
    </w:rPr>
  </w:style>
  <w:style w:type="character" w:customStyle="1" w:styleId="70">
    <w:name w:val="标题 9 Char"/>
    <w:basedOn w:val="56"/>
    <w:link w:val="15"/>
    <w:qFormat/>
    <w:uiPriority w:val="0"/>
    <w:rPr>
      <w:rFonts w:ascii="Arial" w:hAnsi="Arial" w:eastAsia="黑体"/>
      <w:kern w:val="2"/>
      <w:sz w:val="24"/>
      <w:szCs w:val="24"/>
    </w:rPr>
  </w:style>
  <w:style w:type="character" w:customStyle="1" w:styleId="71">
    <w:name w:val="页眉 Char"/>
    <w:basedOn w:val="56"/>
    <w:link w:val="37"/>
    <w:qFormat/>
    <w:uiPriority w:val="99"/>
    <w:rPr>
      <w:sz w:val="18"/>
      <w:szCs w:val="18"/>
    </w:rPr>
  </w:style>
  <w:style w:type="character" w:customStyle="1" w:styleId="72">
    <w:name w:val="页脚 Char"/>
    <w:basedOn w:val="56"/>
    <w:link w:val="36"/>
    <w:qFormat/>
    <w:uiPriority w:val="99"/>
    <w:rPr>
      <w:sz w:val="18"/>
      <w:szCs w:val="18"/>
    </w:rPr>
  </w:style>
  <w:style w:type="paragraph" w:customStyle="1" w:styleId="73">
    <w:name w:val="Char1 Char Char Char Char Char Char Char Char Char Char Char Char Char Char Char Char Char Char"/>
    <w:basedOn w:val="1"/>
    <w:qFormat/>
    <w:uiPriority w:val="0"/>
    <w:rPr>
      <w:rFonts w:ascii="Times New Roman" w:hAnsi="Times New Roman"/>
      <w:szCs w:val="24"/>
    </w:rPr>
  </w:style>
  <w:style w:type="paragraph" w:customStyle="1" w:styleId="74">
    <w:name w:val="正文1"/>
    <w:basedOn w:val="1"/>
    <w:link w:val="75"/>
    <w:qFormat/>
    <w:uiPriority w:val="0"/>
    <w:pPr>
      <w:adjustRightInd w:val="0"/>
      <w:spacing w:line="390" w:lineRule="atLeast"/>
      <w:textAlignment w:val="baseline"/>
    </w:pPr>
    <w:rPr>
      <w:rFonts w:ascii="宋体" w:hAnsi="Times New Roman"/>
      <w:kern w:val="0"/>
      <w:sz w:val="24"/>
      <w:szCs w:val="20"/>
    </w:rPr>
  </w:style>
  <w:style w:type="character" w:customStyle="1" w:styleId="75">
    <w:name w:val="正文1 Char"/>
    <w:link w:val="74"/>
    <w:qFormat/>
    <w:uiPriority w:val="0"/>
    <w:rPr>
      <w:rFonts w:ascii="宋体" w:hAnsi="Times New Roman" w:eastAsia="宋体" w:cs="Times New Roman"/>
      <w:kern w:val="0"/>
      <w:sz w:val="24"/>
      <w:szCs w:val="20"/>
    </w:rPr>
  </w:style>
  <w:style w:type="paragraph" w:customStyle="1" w:styleId="76">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77">
    <w:name w:val="批注框文本 Char"/>
    <w:basedOn w:val="56"/>
    <w:link w:val="35"/>
    <w:qFormat/>
    <w:uiPriority w:val="99"/>
    <w:rPr>
      <w:sz w:val="18"/>
      <w:szCs w:val="18"/>
    </w:rPr>
  </w:style>
  <w:style w:type="character" w:customStyle="1" w:styleId="78">
    <w:name w:val="纯文本 Char"/>
    <w:basedOn w:val="56"/>
    <w:link w:val="30"/>
    <w:qFormat/>
    <w:uiPriority w:val="0"/>
    <w:rPr>
      <w:rFonts w:ascii="宋体" w:hAnsi="Courier New"/>
      <w:kern w:val="2"/>
      <w:sz w:val="28"/>
    </w:rPr>
  </w:style>
  <w:style w:type="character" w:customStyle="1" w:styleId="79">
    <w:name w:val="纯文本 Char1"/>
    <w:basedOn w:val="56"/>
    <w:link w:val="30"/>
    <w:semiHidden/>
    <w:qFormat/>
    <w:uiPriority w:val="99"/>
    <w:rPr>
      <w:rFonts w:ascii="宋体" w:hAnsi="Courier New" w:cs="Courier New"/>
      <w:kern w:val="2"/>
      <w:sz w:val="21"/>
      <w:szCs w:val="21"/>
    </w:rPr>
  </w:style>
  <w:style w:type="character" w:customStyle="1" w:styleId="80">
    <w:name w:val="日期 Char"/>
    <w:basedOn w:val="56"/>
    <w:link w:val="33"/>
    <w:qFormat/>
    <w:uiPriority w:val="99"/>
    <w:rPr>
      <w:kern w:val="2"/>
      <w:sz w:val="21"/>
      <w:szCs w:val="22"/>
    </w:rPr>
  </w:style>
  <w:style w:type="character" w:customStyle="1" w:styleId="81">
    <w:name w:val="普通(网站) Char"/>
    <w:basedOn w:val="56"/>
    <w:link w:val="49"/>
    <w:qFormat/>
    <w:uiPriority w:val="0"/>
    <w:rPr>
      <w:rFonts w:ascii="宋体" w:hAnsi="宋体" w:cs="宋体"/>
      <w:sz w:val="24"/>
      <w:szCs w:val="24"/>
    </w:rPr>
  </w:style>
  <w:style w:type="character" w:customStyle="1" w:styleId="82">
    <w:name w:val="正文文本 Char"/>
    <w:basedOn w:val="56"/>
    <w:link w:val="25"/>
    <w:qFormat/>
    <w:uiPriority w:val="0"/>
    <w:rPr>
      <w:rFonts w:ascii="Times New Roman" w:hAnsi="Times New Roman"/>
      <w:kern w:val="2"/>
      <w:sz w:val="21"/>
      <w:szCs w:val="24"/>
    </w:rPr>
  </w:style>
  <w:style w:type="character" w:customStyle="1" w:styleId="83">
    <w:name w:val="标题 Char"/>
    <w:basedOn w:val="56"/>
    <w:link w:val="51"/>
    <w:qFormat/>
    <w:uiPriority w:val="0"/>
    <w:rPr>
      <w:rFonts w:ascii="Cambria" w:hAnsi="Cambria"/>
      <w:b/>
      <w:bCs/>
      <w:kern w:val="2"/>
      <w:sz w:val="32"/>
      <w:szCs w:val="32"/>
    </w:rPr>
  </w:style>
  <w:style w:type="paragraph" w:customStyle="1" w:styleId="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5">
    <w:name w:val="Default"/>
    <w:link w:val="8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6">
    <w:name w:val="Default Char"/>
    <w:basedOn w:val="56"/>
    <w:link w:val="85"/>
    <w:qFormat/>
    <w:uiPriority w:val="0"/>
    <w:rPr>
      <w:rFonts w:ascii="宋体" w:hAnsi="Times New Roman" w:cs="宋体"/>
      <w:color w:val="000000"/>
      <w:sz w:val="24"/>
      <w:szCs w:val="24"/>
      <w:lang w:val="en-US" w:eastAsia="zh-CN" w:bidi="ar-SA"/>
    </w:rPr>
  </w:style>
  <w:style w:type="character" w:customStyle="1" w:styleId="87">
    <w:name w:val="副标题 Char1"/>
    <w:basedOn w:val="56"/>
    <w:link w:val="42"/>
    <w:qFormat/>
    <w:uiPriority w:val="0"/>
    <w:rPr>
      <w:rFonts w:ascii="Cambria" w:hAnsi="Cambria" w:eastAsia="宋体"/>
      <w:b/>
      <w:bCs/>
      <w:kern w:val="28"/>
      <w:sz w:val="28"/>
      <w:szCs w:val="32"/>
    </w:rPr>
  </w:style>
  <w:style w:type="character" w:customStyle="1" w:styleId="88">
    <w:name w:val="副标题 Char"/>
    <w:basedOn w:val="56"/>
    <w:link w:val="42"/>
    <w:qFormat/>
    <w:uiPriority w:val="0"/>
    <w:rPr>
      <w:rFonts w:ascii="Cambria" w:hAnsi="Cambria" w:cs="Times New Roman"/>
      <w:b/>
      <w:bCs/>
      <w:kern w:val="28"/>
      <w:sz w:val="32"/>
      <w:szCs w:val="32"/>
    </w:rPr>
  </w:style>
  <w:style w:type="character" w:customStyle="1" w:styleId="89">
    <w:name w:val="批注主题 Char"/>
    <w:basedOn w:val="90"/>
    <w:link w:val="52"/>
    <w:qFormat/>
    <w:uiPriority w:val="0"/>
  </w:style>
  <w:style w:type="character" w:customStyle="1" w:styleId="90">
    <w:name w:val="批注文字 Char"/>
    <w:basedOn w:val="56"/>
    <w:link w:val="22"/>
    <w:qFormat/>
    <w:uiPriority w:val="0"/>
    <w:rPr>
      <w:rFonts w:ascii="宋体"/>
      <w:sz w:val="28"/>
    </w:rPr>
  </w:style>
  <w:style w:type="character" w:customStyle="1" w:styleId="91">
    <w:name w:val="批注文字 Char1"/>
    <w:basedOn w:val="56"/>
    <w:link w:val="22"/>
    <w:semiHidden/>
    <w:qFormat/>
    <w:uiPriority w:val="99"/>
    <w:rPr>
      <w:kern w:val="2"/>
      <w:sz w:val="21"/>
      <w:szCs w:val="22"/>
    </w:rPr>
  </w:style>
  <w:style w:type="character" w:customStyle="1" w:styleId="92">
    <w:name w:val="批注主题 Char1"/>
    <w:basedOn w:val="91"/>
    <w:link w:val="52"/>
    <w:semiHidden/>
    <w:qFormat/>
    <w:uiPriority w:val="99"/>
    <w:rPr>
      <w:b/>
      <w:bCs/>
    </w:rPr>
  </w:style>
  <w:style w:type="character" w:customStyle="1" w:styleId="93">
    <w:name w:val="Char Char2"/>
    <w:basedOn w:val="56"/>
    <w:qFormat/>
    <w:uiPriority w:val="0"/>
    <w:rPr>
      <w:rFonts w:ascii="宋体" w:eastAsia="宋体"/>
      <w:sz w:val="18"/>
      <w:lang w:val="en-US" w:eastAsia="zh-CN" w:bidi="ar-SA"/>
    </w:rPr>
  </w:style>
  <w:style w:type="character" w:customStyle="1" w:styleId="94">
    <w:name w:val="marklong"/>
    <w:basedOn w:val="56"/>
    <w:qFormat/>
    <w:uiPriority w:val="0"/>
  </w:style>
  <w:style w:type="character" w:customStyle="1" w:styleId="95">
    <w:name w:val="正文文本缩进 3 Char"/>
    <w:basedOn w:val="56"/>
    <w:link w:val="44"/>
    <w:qFormat/>
    <w:uiPriority w:val="0"/>
    <w:rPr>
      <w:rFonts w:ascii="宋体" w:hAnsi="宋体"/>
      <w:kern w:val="2"/>
      <w:sz w:val="24"/>
      <w:szCs w:val="24"/>
    </w:rPr>
  </w:style>
  <w:style w:type="character" w:customStyle="1" w:styleId="96">
    <w:name w:val="正文文本缩进 3 Char1"/>
    <w:basedOn w:val="56"/>
    <w:link w:val="44"/>
    <w:semiHidden/>
    <w:qFormat/>
    <w:uiPriority w:val="99"/>
    <w:rPr>
      <w:kern w:val="2"/>
      <w:sz w:val="16"/>
      <w:szCs w:val="16"/>
    </w:rPr>
  </w:style>
  <w:style w:type="character" w:customStyle="1" w:styleId="97">
    <w:name w:val="Char Char1"/>
    <w:basedOn w:val="56"/>
    <w:qFormat/>
    <w:uiPriority w:val="0"/>
    <w:rPr>
      <w:rFonts w:cs="Times New Roman"/>
      <w:kern w:val="2"/>
      <w:sz w:val="18"/>
      <w:szCs w:val="18"/>
    </w:rPr>
  </w:style>
  <w:style w:type="character" w:customStyle="1" w:styleId="98">
    <w:name w:val="正文文本 2 Char"/>
    <w:basedOn w:val="56"/>
    <w:link w:val="48"/>
    <w:qFormat/>
    <w:uiPriority w:val="0"/>
    <w:rPr>
      <w:rFonts w:ascii="FangSong_GB2312" w:hAnsi="宋体" w:eastAsia="FangSong_GB2312"/>
      <w:b/>
      <w:bCs/>
      <w:color w:val="FF0000"/>
      <w:kern w:val="2"/>
      <w:sz w:val="24"/>
      <w:szCs w:val="24"/>
    </w:rPr>
  </w:style>
  <w:style w:type="character" w:customStyle="1" w:styleId="99">
    <w:name w:val="正文文本 2 Char1"/>
    <w:basedOn w:val="56"/>
    <w:link w:val="48"/>
    <w:semiHidden/>
    <w:qFormat/>
    <w:uiPriority w:val="99"/>
    <w:rPr>
      <w:kern w:val="2"/>
      <w:sz w:val="21"/>
      <w:szCs w:val="22"/>
    </w:rPr>
  </w:style>
  <w:style w:type="character" w:customStyle="1" w:styleId="100">
    <w:name w:val="正文文本缩进 2 Char"/>
    <w:basedOn w:val="56"/>
    <w:link w:val="34"/>
    <w:qFormat/>
    <w:uiPriority w:val="0"/>
    <w:rPr>
      <w:rFonts w:ascii="宋体" w:hAnsi="宋体"/>
      <w:kern w:val="2"/>
      <w:sz w:val="24"/>
      <w:szCs w:val="24"/>
    </w:rPr>
  </w:style>
  <w:style w:type="character" w:customStyle="1" w:styleId="101">
    <w:name w:val="正文文本缩进 2 Char1"/>
    <w:basedOn w:val="56"/>
    <w:link w:val="34"/>
    <w:semiHidden/>
    <w:qFormat/>
    <w:uiPriority w:val="99"/>
    <w:rPr>
      <w:kern w:val="2"/>
      <w:sz w:val="21"/>
      <w:szCs w:val="22"/>
    </w:rPr>
  </w:style>
  <w:style w:type="character" w:customStyle="1" w:styleId="102">
    <w:name w:val="正文文本缩进 Char"/>
    <w:basedOn w:val="56"/>
    <w:link w:val="3"/>
    <w:qFormat/>
    <w:uiPriority w:val="0"/>
    <w:rPr>
      <w:kern w:val="2"/>
      <w:sz w:val="24"/>
      <w:szCs w:val="24"/>
    </w:rPr>
  </w:style>
  <w:style w:type="character" w:customStyle="1" w:styleId="103">
    <w:name w:val="正文文本缩进 Char1"/>
    <w:basedOn w:val="56"/>
    <w:link w:val="3"/>
    <w:semiHidden/>
    <w:qFormat/>
    <w:uiPriority w:val="99"/>
    <w:rPr>
      <w:kern w:val="2"/>
      <w:sz w:val="21"/>
      <w:szCs w:val="22"/>
    </w:rPr>
  </w:style>
  <w:style w:type="character" w:customStyle="1" w:styleId="104">
    <w:name w:val="Char Char11"/>
    <w:basedOn w:val="56"/>
    <w:qFormat/>
    <w:uiPriority w:val="0"/>
    <w:rPr>
      <w:rFonts w:eastAsia="宋体"/>
      <w:kern w:val="2"/>
      <w:sz w:val="18"/>
      <w:lang w:val="en-US" w:eastAsia="zh-CN" w:bidi="ar-SA"/>
    </w:rPr>
  </w:style>
  <w:style w:type="paragraph" w:customStyle="1" w:styleId="105">
    <w:name w:val="正文缩进2 Char"/>
    <w:basedOn w:val="1"/>
    <w:qFormat/>
    <w:uiPriority w:val="0"/>
    <w:pPr>
      <w:widowControl/>
      <w:spacing w:beforeLines="50"/>
      <w:ind w:firstLine="200" w:firstLineChars="200"/>
      <w:jc w:val="left"/>
    </w:pPr>
    <w:rPr>
      <w:rFonts w:ascii="Tahoma" w:hAnsi="Tahoma" w:cs="Tahoma"/>
      <w:sz w:val="24"/>
      <w:szCs w:val="24"/>
    </w:rPr>
  </w:style>
  <w:style w:type="paragraph" w:customStyle="1" w:styleId="106">
    <w:name w:val="Char"/>
    <w:basedOn w:val="1"/>
    <w:qFormat/>
    <w:uiPriority w:val="0"/>
    <w:rPr>
      <w:rFonts w:ascii="Times New Roman" w:hAnsi="Times New Roman"/>
      <w:szCs w:val="24"/>
    </w:rPr>
  </w:style>
  <w:style w:type="paragraph" w:customStyle="1" w:styleId="107">
    <w:name w:val="默认段落字体 Para Char Char Char1 Char"/>
    <w:basedOn w:val="1"/>
    <w:qFormat/>
    <w:uiPriority w:val="0"/>
    <w:pPr>
      <w:spacing w:line="240" w:lineRule="atLeast"/>
      <w:ind w:left="420" w:firstLine="420"/>
    </w:pPr>
    <w:rPr>
      <w:rFonts w:ascii="Times New Roman" w:hAnsi="Times New Roman"/>
      <w:kern w:val="0"/>
      <w:szCs w:val="21"/>
    </w:rPr>
  </w:style>
  <w:style w:type="paragraph" w:customStyle="1" w:styleId="108">
    <w:name w:val="标题2"/>
    <w:basedOn w:val="7"/>
    <w:next w:val="7"/>
    <w:qFormat/>
    <w:uiPriority w:val="0"/>
    <w:pPr>
      <w:keepLines w:val="0"/>
      <w:tabs>
        <w:tab w:val="left" w:pos="360"/>
        <w:tab w:val="left" w:pos="425"/>
        <w:tab w:val="left" w:pos="480"/>
      </w:tabs>
      <w:adjustRightInd w:val="0"/>
      <w:spacing w:before="0" w:after="0" w:line="360" w:lineRule="auto"/>
      <w:ind w:left="360" w:hanging="360"/>
      <w:textAlignment w:val="baseline"/>
    </w:pPr>
    <w:rPr>
      <w:rFonts w:ascii="Times New Roman" w:hAnsi="Times New Roman"/>
      <w:bCs w:val="0"/>
      <w:kern w:val="0"/>
      <w:sz w:val="24"/>
      <w:szCs w:val="20"/>
    </w:rPr>
  </w:style>
  <w:style w:type="paragraph" w:customStyle="1" w:styleId="109">
    <w:name w:val="Char Char Char"/>
    <w:basedOn w:val="1"/>
    <w:qFormat/>
    <w:uiPriority w:val="0"/>
    <w:pPr>
      <w:widowControl/>
      <w:spacing w:line="400" w:lineRule="exact"/>
      <w:jc w:val="center"/>
    </w:pPr>
    <w:rPr>
      <w:rFonts w:ascii="Verdana" w:hAnsi="Verdana"/>
      <w:kern w:val="0"/>
      <w:szCs w:val="20"/>
      <w:lang w:eastAsia="en-US"/>
    </w:rPr>
  </w:style>
  <w:style w:type="paragraph" w:customStyle="1" w:styleId="110">
    <w:name w:val="Char1 Char Char Char"/>
    <w:basedOn w:val="1"/>
    <w:qFormat/>
    <w:uiPriority w:val="0"/>
    <w:rPr>
      <w:rFonts w:ascii="Times New Roman" w:hAnsi="Times New Roman"/>
      <w:szCs w:val="24"/>
    </w:rPr>
  </w:style>
  <w:style w:type="paragraph" w:customStyle="1" w:styleId="111">
    <w:name w:val="Char Char Char2 Char Char Char"/>
    <w:basedOn w:val="1"/>
    <w:qFormat/>
    <w:uiPriority w:val="0"/>
    <w:pPr>
      <w:widowControl/>
      <w:jc w:val="left"/>
    </w:pPr>
    <w:rPr>
      <w:rFonts w:ascii="Arial" w:hAnsi="Arial"/>
      <w:kern w:val="0"/>
      <w:sz w:val="20"/>
      <w:szCs w:val="20"/>
      <w:lang w:val="de-DE" w:eastAsia="de-DE"/>
    </w:rPr>
  </w:style>
  <w:style w:type="paragraph" w:customStyle="1" w:styleId="112">
    <w:name w:val="正文2"/>
    <w:basedOn w:val="1"/>
    <w:qFormat/>
    <w:uiPriority w:val="0"/>
    <w:pPr>
      <w:tabs>
        <w:tab w:val="left" w:pos="426"/>
        <w:tab w:val="left" w:pos="3452"/>
      </w:tabs>
      <w:autoSpaceDE w:val="0"/>
      <w:autoSpaceDN w:val="0"/>
      <w:adjustRightInd w:val="0"/>
      <w:snapToGrid w:val="0"/>
      <w:spacing w:after="60" w:line="320" w:lineRule="exact"/>
      <w:textAlignment w:val="bottom"/>
    </w:pPr>
    <w:rPr>
      <w:rFonts w:ascii="Times New Roman" w:hAnsi="Arial"/>
      <w:kern w:val="0"/>
      <w:szCs w:val="20"/>
    </w:rPr>
  </w:style>
  <w:style w:type="paragraph" w:customStyle="1" w:styleId="113">
    <w:name w:val="表格侧编号"/>
    <w:next w:val="1"/>
    <w:qFormat/>
    <w:uiPriority w:val="0"/>
    <w:pPr>
      <w:widowControl w:val="0"/>
      <w:spacing w:line="300" w:lineRule="exact"/>
      <w:jc w:val="center"/>
      <w:textAlignment w:val="baseline"/>
    </w:pPr>
    <w:rPr>
      <w:rFonts w:ascii="Arial" w:hAnsi="Arial" w:eastAsia="宋体" w:cs="Times New Roman"/>
      <w:sz w:val="21"/>
      <w:szCs w:val="24"/>
      <w:lang w:val="en-US" w:eastAsia="zh-CN" w:bidi="ar-SA"/>
    </w:rPr>
  </w:style>
  <w:style w:type="paragraph" w:customStyle="1" w:styleId="114">
    <w:name w:val="样式1"/>
    <w:basedOn w:val="1"/>
    <w:qFormat/>
    <w:uiPriority w:val="0"/>
    <w:pPr>
      <w:adjustRightInd w:val="0"/>
      <w:spacing w:line="420" w:lineRule="auto"/>
      <w:jc w:val="center"/>
      <w:textAlignment w:val="baseline"/>
    </w:pPr>
    <w:rPr>
      <w:rFonts w:ascii="宋体" w:hAnsi="Times New Roman"/>
      <w:kern w:val="0"/>
      <w:sz w:val="24"/>
      <w:szCs w:val="20"/>
    </w:rPr>
  </w:style>
  <w:style w:type="paragraph" w:customStyle="1" w:styleId="115">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2"/>
    </w:rPr>
  </w:style>
  <w:style w:type="paragraph" w:customStyle="1" w:styleId="116">
    <w:name w:val="Table"/>
    <w:qFormat/>
    <w:uiPriority w:val="0"/>
    <w:rPr>
      <w:rFonts w:ascii="Times New Roman" w:hAnsi="Times New Roman" w:eastAsia="宋体" w:cs="Times New Roman"/>
      <w:sz w:val="21"/>
      <w:szCs w:val="21"/>
      <w:lang w:val="en-US" w:eastAsia="en-US" w:bidi="ar-SA"/>
    </w:rPr>
  </w:style>
  <w:style w:type="paragraph" w:customStyle="1" w:styleId="117">
    <w:name w:val="tabletext"/>
    <w:basedOn w:val="1"/>
    <w:qFormat/>
    <w:uiPriority w:val="0"/>
    <w:pPr>
      <w:widowControl/>
      <w:spacing w:line="300" w:lineRule="atLeast"/>
      <w:jc w:val="left"/>
    </w:pPr>
    <w:rPr>
      <w:rFonts w:ascii="宋体" w:hAnsi="宋体" w:cs="宋体"/>
      <w:kern w:val="0"/>
      <w:sz w:val="18"/>
      <w:szCs w:val="18"/>
    </w:rPr>
  </w:style>
  <w:style w:type="paragraph" w:customStyle="1" w:styleId="118">
    <w:name w:val="Char Char Char Char Char Char Char"/>
    <w:basedOn w:val="1"/>
    <w:qFormat/>
    <w:uiPriority w:val="0"/>
    <w:rPr>
      <w:rFonts w:ascii="Times New Roman" w:hAnsi="Times New Roman"/>
      <w:kern w:val="0"/>
      <w:szCs w:val="21"/>
    </w:rPr>
  </w:style>
  <w:style w:type="paragraph" w:customStyle="1" w:styleId="119">
    <w:name w:val="默认段落字体 Para Char Char Char Char Char Char Char"/>
    <w:basedOn w:val="1"/>
    <w:qFormat/>
    <w:uiPriority w:val="0"/>
    <w:pPr>
      <w:adjustRightInd w:val="0"/>
      <w:spacing w:line="360" w:lineRule="auto"/>
      <w:textAlignment w:val="baseline"/>
    </w:pPr>
    <w:rPr>
      <w:rFonts w:ascii="Times New Roman" w:hAnsi="Times New Roman"/>
      <w:kern w:val="0"/>
      <w:sz w:val="24"/>
      <w:szCs w:val="20"/>
    </w:rPr>
  </w:style>
  <w:style w:type="character" w:customStyle="1" w:styleId="120">
    <w:name w:val="文档结构图 Char"/>
    <w:basedOn w:val="56"/>
    <w:link w:val="20"/>
    <w:qFormat/>
    <w:uiPriority w:val="0"/>
    <w:rPr>
      <w:rFonts w:ascii="Times New Roman" w:hAnsi="Times New Roman"/>
      <w:kern w:val="2"/>
      <w:sz w:val="21"/>
      <w:szCs w:val="24"/>
      <w:shd w:val="clear" w:color="auto" w:fill="000080"/>
    </w:rPr>
  </w:style>
  <w:style w:type="paragraph" w:customStyle="1" w:styleId="121">
    <w:name w:val="默认段落字体 Para Char Char Char Char Char Char Char Char Char Char Char Char Char"/>
    <w:basedOn w:val="1"/>
    <w:qFormat/>
    <w:uiPriority w:val="0"/>
    <w:rPr>
      <w:rFonts w:ascii="Tahoma" w:hAnsi="Tahoma" w:cs="Tahoma"/>
      <w:sz w:val="24"/>
      <w:szCs w:val="24"/>
    </w:rPr>
  </w:style>
  <w:style w:type="paragraph" w:customStyle="1" w:styleId="122">
    <w:name w:val="Default Text"/>
    <w:basedOn w:val="1"/>
    <w:qFormat/>
    <w:uiPriority w:val="0"/>
    <w:pPr>
      <w:autoSpaceDE w:val="0"/>
      <w:autoSpaceDN w:val="0"/>
      <w:adjustRightInd w:val="0"/>
      <w:jc w:val="left"/>
    </w:pPr>
    <w:rPr>
      <w:rFonts w:ascii="Times New Roman" w:hAnsi="Times New Roman"/>
      <w:kern w:val="0"/>
      <w:sz w:val="24"/>
      <w:szCs w:val="24"/>
    </w:rPr>
  </w:style>
  <w:style w:type="paragraph" w:customStyle="1" w:styleId="123">
    <w:name w:val="1"/>
    <w:basedOn w:val="1"/>
    <w:next w:val="30"/>
    <w:qFormat/>
    <w:uiPriority w:val="0"/>
    <w:rPr>
      <w:rFonts w:ascii="宋体" w:hAnsi="Courier New"/>
      <w:szCs w:val="20"/>
    </w:rPr>
  </w:style>
  <w:style w:type="paragraph" w:customStyle="1" w:styleId="124">
    <w:name w:val="2 Char Char Char Char Char Char Char Char Char Char"/>
    <w:basedOn w:val="20"/>
    <w:qFormat/>
    <w:uiPriority w:val="0"/>
    <w:rPr>
      <w:rFonts w:ascii="Tahoma" w:hAnsi="Tahoma"/>
      <w:sz w:val="24"/>
    </w:rPr>
  </w:style>
  <w:style w:type="paragraph" w:customStyle="1" w:styleId="125">
    <w:name w:val="样式2"/>
    <w:basedOn w:val="1"/>
    <w:qFormat/>
    <w:uiPriority w:val="0"/>
    <w:pPr>
      <w:adjustRightInd w:val="0"/>
      <w:spacing w:line="410" w:lineRule="atLeast"/>
      <w:jc w:val="left"/>
      <w:textAlignment w:val="baseline"/>
    </w:pPr>
    <w:rPr>
      <w:rFonts w:ascii="Times New Roman" w:hAnsi="Times New Roman"/>
      <w:kern w:val="0"/>
      <w:sz w:val="24"/>
      <w:szCs w:val="20"/>
    </w:rPr>
  </w:style>
  <w:style w:type="paragraph" w:customStyle="1" w:styleId="126">
    <w:name w:val="正文111"/>
    <w:basedOn w:val="1"/>
    <w:qFormat/>
    <w:uiPriority w:val="0"/>
    <w:pPr>
      <w:spacing w:line="520" w:lineRule="exact"/>
    </w:pPr>
    <w:rPr>
      <w:rFonts w:ascii="Times New Roman" w:hAnsi="Times New Roman"/>
      <w:sz w:val="24"/>
      <w:szCs w:val="20"/>
    </w:rPr>
  </w:style>
  <w:style w:type="paragraph" w:customStyle="1" w:styleId="127">
    <w:name w:val="??"/>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8">
    <w:name w:val="Char1 Char Char Char1"/>
    <w:basedOn w:val="1"/>
    <w:qFormat/>
    <w:uiPriority w:val="0"/>
    <w:rPr>
      <w:rFonts w:ascii="Tahoma" w:hAnsi="Tahoma" w:cs="Tahoma"/>
      <w:sz w:val="24"/>
      <w:szCs w:val="24"/>
    </w:rPr>
  </w:style>
  <w:style w:type="paragraph" w:customStyle="1" w:styleId="129">
    <w:name w:val="Char11"/>
    <w:basedOn w:val="1"/>
    <w:qFormat/>
    <w:uiPriority w:val="0"/>
    <w:rPr>
      <w:rFonts w:ascii="Times New Roman" w:hAnsi="Times New Roman"/>
      <w:szCs w:val="20"/>
    </w:rPr>
  </w:style>
  <w:style w:type="paragraph" w:customStyle="1" w:styleId="130">
    <w:name w:val="2"/>
    <w:basedOn w:val="1"/>
    <w:next w:val="11"/>
    <w:qFormat/>
    <w:uiPriority w:val="0"/>
    <w:pPr>
      <w:spacing w:line="360" w:lineRule="auto"/>
      <w:ind w:firstLine="420"/>
    </w:pPr>
    <w:rPr>
      <w:rFonts w:ascii="Arial" w:hAnsi="Arial" w:cs="Arial"/>
      <w:sz w:val="24"/>
      <w:szCs w:val="20"/>
    </w:rPr>
  </w:style>
  <w:style w:type="paragraph" w:customStyle="1" w:styleId="131">
    <w:name w:val="章摘要"/>
    <w:basedOn w:val="11"/>
    <w:next w:val="7"/>
    <w:qFormat/>
    <w:uiPriority w:val="0"/>
  </w:style>
  <w:style w:type="character" w:customStyle="1" w:styleId="132">
    <w:name w:val="正文文本 3 Char"/>
    <w:basedOn w:val="56"/>
    <w:link w:val="24"/>
    <w:qFormat/>
    <w:uiPriority w:val="0"/>
    <w:rPr>
      <w:rFonts w:ascii="Times New Roman" w:hAnsi="Times New Roman"/>
      <w:kern w:val="2"/>
      <w:sz w:val="16"/>
    </w:rPr>
  </w:style>
  <w:style w:type="paragraph" w:customStyle="1" w:styleId="133">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134">
    <w:name w:val="缩紧正文 Char Char"/>
    <w:basedOn w:val="1"/>
    <w:qFormat/>
    <w:uiPriority w:val="0"/>
    <w:pPr>
      <w:spacing w:before="120" w:after="120" w:line="400" w:lineRule="exact"/>
      <w:ind w:firstLine="200" w:firstLineChars="200"/>
    </w:pPr>
    <w:rPr>
      <w:rFonts w:ascii="宋体" w:hAnsi="Times New Roman" w:cs="宋体"/>
      <w:sz w:val="24"/>
      <w:szCs w:val="24"/>
    </w:rPr>
  </w:style>
  <w:style w:type="paragraph" w:customStyle="1" w:styleId="135">
    <w:name w:val="默认段落字体 Para Char Char Char"/>
    <w:basedOn w:val="1"/>
    <w:qFormat/>
    <w:uiPriority w:val="0"/>
    <w:rPr>
      <w:rFonts w:ascii="Times New Roman" w:hAnsi="Times New Roman"/>
      <w:szCs w:val="24"/>
    </w:rPr>
  </w:style>
  <w:style w:type="paragraph" w:customStyle="1" w:styleId="136">
    <w:name w:val="正文文本 21"/>
    <w:basedOn w:val="1"/>
    <w:qFormat/>
    <w:uiPriority w:val="0"/>
    <w:pPr>
      <w:adjustRightInd w:val="0"/>
      <w:ind w:left="425"/>
      <w:textAlignment w:val="baseline"/>
    </w:pPr>
    <w:rPr>
      <w:rFonts w:ascii="宋体" w:hAnsi="Times New Roman"/>
      <w:sz w:val="28"/>
      <w:szCs w:val="20"/>
    </w:rPr>
  </w:style>
  <w:style w:type="paragraph" w:customStyle="1" w:styleId="137">
    <w:name w:val="Char Char Char Char1"/>
    <w:basedOn w:val="1"/>
    <w:qFormat/>
    <w:uiPriority w:val="0"/>
    <w:rPr>
      <w:rFonts w:ascii="Times New Roman" w:hAnsi="Times New Roman"/>
      <w:szCs w:val="21"/>
    </w:rPr>
  </w:style>
  <w:style w:type="paragraph" w:customStyle="1" w:styleId="138">
    <w:name w:val="日期1"/>
    <w:basedOn w:val="1"/>
    <w:next w:val="1"/>
    <w:qFormat/>
    <w:uiPriority w:val="0"/>
    <w:pPr>
      <w:adjustRightInd w:val="0"/>
      <w:spacing w:line="360" w:lineRule="atLeast"/>
      <w:textAlignment w:val="baseline"/>
    </w:pPr>
    <w:rPr>
      <w:rFonts w:ascii="宋体" w:hAnsi="Times New Roman" w:eastAsia="Wingdings"/>
      <w:kern w:val="0"/>
      <w:sz w:val="24"/>
      <w:szCs w:val="20"/>
    </w:rPr>
  </w:style>
  <w:style w:type="paragraph" w:customStyle="1" w:styleId="139">
    <w:name w:val="xl28"/>
    <w:basedOn w:val="1"/>
    <w:qFormat/>
    <w:uiPriority w:val="0"/>
    <w:pPr>
      <w:widowControl/>
      <w:spacing w:before="100" w:beforeAutospacing="1" w:after="100" w:afterAutospacing="1"/>
      <w:jc w:val="center"/>
    </w:pPr>
    <w:rPr>
      <w:rFonts w:ascii="宋体" w:hAnsi="Times New Roman" w:cs="宋体"/>
      <w:kern w:val="0"/>
      <w:sz w:val="24"/>
      <w:szCs w:val="24"/>
    </w:rPr>
  </w:style>
  <w:style w:type="character" w:customStyle="1" w:styleId="140">
    <w:name w:val="Char Char8"/>
    <w:basedOn w:val="56"/>
    <w:semiHidden/>
    <w:qFormat/>
    <w:uiPriority w:val="0"/>
    <w:rPr>
      <w:rFonts w:ascii="System" w:eastAsia="System"/>
      <w:sz w:val="24"/>
      <w:lang w:val="en-US" w:eastAsia="zh-CN" w:bidi="ar-SA"/>
    </w:rPr>
  </w:style>
  <w:style w:type="paragraph" w:customStyle="1" w:styleId="141">
    <w:name w:val="默认段落字体 Para Char Char Char Char"/>
    <w:basedOn w:val="1"/>
    <w:qFormat/>
    <w:uiPriority w:val="0"/>
    <w:rPr>
      <w:rFonts w:ascii="宋体" w:hAnsi="Times New Roman"/>
      <w:kern w:val="0"/>
      <w:sz w:val="18"/>
      <w:szCs w:val="20"/>
      <w:u w:val="single"/>
    </w:rPr>
  </w:style>
  <w:style w:type="character" w:customStyle="1" w:styleId="142">
    <w:name w:val="trans"/>
    <w:basedOn w:val="56"/>
    <w:qFormat/>
    <w:uiPriority w:val="0"/>
  </w:style>
  <w:style w:type="paragraph" w:customStyle="1" w:styleId="143">
    <w:name w:val="(1)"/>
    <w:basedOn w:val="1"/>
    <w:qFormat/>
    <w:uiPriority w:val="0"/>
    <w:pPr>
      <w:widowControl/>
      <w:tabs>
        <w:tab w:val="left" w:pos="2608"/>
      </w:tabs>
      <w:overflowPunct w:val="0"/>
      <w:autoSpaceDE w:val="0"/>
      <w:autoSpaceDN w:val="0"/>
      <w:adjustRightInd w:val="0"/>
      <w:spacing w:before="120" w:after="120" w:line="264" w:lineRule="auto"/>
      <w:ind w:left="2608" w:hanging="567"/>
      <w:textAlignment w:val="baseline"/>
    </w:pPr>
    <w:rPr>
      <w:rFonts w:ascii="Times New Roman" w:hAnsi="Times New Roman"/>
      <w:kern w:val="0"/>
      <w:sz w:val="22"/>
      <w:szCs w:val="20"/>
    </w:rPr>
  </w:style>
  <w:style w:type="paragraph" w:customStyle="1" w:styleId="144">
    <w:name w:val="Char Char Char3 Char"/>
    <w:basedOn w:val="1"/>
    <w:qFormat/>
    <w:uiPriority w:val="0"/>
    <w:rPr>
      <w:rFonts w:ascii="Times New Roman" w:hAnsi="Times New Roman"/>
      <w:szCs w:val="24"/>
    </w:rPr>
  </w:style>
  <w:style w:type="paragraph" w:styleId="145">
    <w:name w:val="List Paragraph"/>
    <w:basedOn w:val="1"/>
    <w:qFormat/>
    <w:uiPriority w:val="34"/>
    <w:pPr>
      <w:ind w:firstLine="420" w:firstLineChars="200"/>
    </w:pPr>
  </w:style>
  <w:style w:type="paragraph" w:customStyle="1" w:styleId="146">
    <w:name w:val="Char Char Char Char Char Char Char11"/>
    <w:basedOn w:val="1"/>
    <w:qFormat/>
    <w:uiPriority w:val="0"/>
    <w:rPr>
      <w:rFonts w:ascii="Times New Roman" w:hAnsi="Times New Roman"/>
      <w:kern w:val="0"/>
      <w:sz w:val="20"/>
      <w:szCs w:val="20"/>
    </w:rPr>
  </w:style>
  <w:style w:type="paragraph" w:customStyle="1" w:styleId="147">
    <w:name w:val="Char1 Char Char Char Char Char Char Char Char Char Char Char Char Char Char Char Char Char Char1"/>
    <w:basedOn w:val="1"/>
    <w:qFormat/>
    <w:uiPriority w:val="0"/>
    <w:rPr>
      <w:rFonts w:ascii="Times New Roman" w:hAnsi="Times New Roman"/>
      <w:szCs w:val="24"/>
    </w:rPr>
  </w:style>
  <w:style w:type="paragraph" w:customStyle="1" w:styleId="148">
    <w:name w:val="p0"/>
    <w:basedOn w:val="1"/>
    <w:qFormat/>
    <w:uiPriority w:val="0"/>
    <w:pPr>
      <w:widowControl/>
    </w:pPr>
    <w:rPr>
      <w:rFonts w:ascii="Times New Roman" w:hAnsi="Times New Roman"/>
      <w:kern w:val="0"/>
      <w:szCs w:val="21"/>
    </w:rPr>
  </w:style>
  <w:style w:type="paragraph" w:customStyle="1" w:styleId="149">
    <w:name w:val="列出段落1"/>
    <w:basedOn w:val="1"/>
    <w:link w:val="150"/>
    <w:qFormat/>
    <w:uiPriority w:val="0"/>
    <w:pPr>
      <w:ind w:firstLine="420" w:firstLineChars="200"/>
    </w:pPr>
  </w:style>
  <w:style w:type="character" w:customStyle="1" w:styleId="150">
    <w:name w:val="列出段落 Char"/>
    <w:basedOn w:val="56"/>
    <w:link w:val="149"/>
    <w:qFormat/>
    <w:uiPriority w:val="0"/>
    <w:rPr>
      <w:kern w:val="2"/>
      <w:sz w:val="21"/>
      <w:szCs w:val="22"/>
    </w:rPr>
  </w:style>
  <w:style w:type="paragraph" w:customStyle="1" w:styleId="151">
    <w:name w:val="Char Char Char3 Char1"/>
    <w:basedOn w:val="1"/>
    <w:qFormat/>
    <w:uiPriority w:val="0"/>
    <w:rPr>
      <w:rFonts w:ascii="Times New Roman" w:hAnsi="Times New Roman"/>
      <w:szCs w:val="24"/>
      <w:u w:color="000000"/>
    </w:rPr>
  </w:style>
  <w:style w:type="paragraph" w:customStyle="1" w:styleId="152">
    <w:name w:val="样式 标题 2 + Times New Roman 四号 非加粗 段前: 5 磅 段后: 0 磅 行距: 固定值 20..."/>
    <w:basedOn w:val="7"/>
    <w:qFormat/>
    <w:uiPriority w:val="0"/>
    <w:pPr>
      <w:spacing w:before="100" w:after="0" w:line="400" w:lineRule="exact"/>
    </w:pPr>
    <w:rPr>
      <w:rFonts w:ascii="Times New Roman" w:hAnsi="Times New Roman" w:eastAsia="黑体" w:cs="宋体"/>
      <w:b w:val="0"/>
      <w:bCs w:val="0"/>
      <w:sz w:val="28"/>
      <w:szCs w:val="20"/>
    </w:rPr>
  </w:style>
  <w:style w:type="paragraph" w:customStyle="1" w:styleId="153">
    <w:name w:val="二级条标题"/>
    <w:basedOn w:val="1"/>
    <w:next w:val="1"/>
    <w:qFormat/>
    <w:uiPriority w:val="0"/>
    <w:pPr>
      <w:widowControl/>
      <w:jc w:val="left"/>
      <w:outlineLvl w:val="3"/>
    </w:pPr>
    <w:rPr>
      <w:rFonts w:ascii="黑体" w:hAnsi="Times New Roman" w:eastAsia="黑体"/>
      <w:kern w:val="0"/>
      <w:sz w:val="24"/>
      <w:szCs w:val="20"/>
    </w:rPr>
  </w:style>
  <w:style w:type="paragraph" w:customStyle="1" w:styleId="154">
    <w:name w:val="列出段落11"/>
    <w:basedOn w:val="1"/>
    <w:qFormat/>
    <w:uiPriority w:val="0"/>
    <w:pPr>
      <w:numPr>
        <w:ilvl w:val="1"/>
        <w:numId w:val="1"/>
      </w:numPr>
      <w:tabs>
        <w:tab w:val="left" w:pos="425"/>
      </w:tabs>
      <w:spacing w:before="80" w:after="80" w:line="312" w:lineRule="auto"/>
      <w:outlineLvl w:val="1"/>
    </w:pPr>
    <w:rPr>
      <w:rFonts w:ascii="微软雅黑" w:hAnsi="微软雅黑" w:eastAsia="微软雅黑" w:cs="Arial"/>
      <w:sz w:val="28"/>
    </w:rPr>
  </w:style>
  <w:style w:type="paragraph" w:customStyle="1" w:styleId="155">
    <w:name w:val="Mox_Heading1"/>
    <w:basedOn w:val="6"/>
    <w:next w:val="1"/>
    <w:qFormat/>
    <w:uiPriority w:val="0"/>
    <w:pPr>
      <w:numPr>
        <w:ilvl w:val="0"/>
        <w:numId w:val="1"/>
      </w:numPr>
      <w:pBdr>
        <w:bottom w:val="single" w:color="auto" w:sz="18" w:space="0"/>
      </w:pBdr>
      <w:adjustRightInd w:val="0"/>
      <w:snapToGrid w:val="0"/>
      <w:spacing w:before="120" w:after="120" w:line="360" w:lineRule="auto"/>
      <w:jc w:val="left"/>
    </w:pPr>
    <w:rPr>
      <w:rFonts w:ascii="微软雅黑" w:hAnsi="微软雅黑" w:eastAsia="微软雅黑" w:cs="宋体"/>
      <w:b w:val="0"/>
      <w:kern w:val="0"/>
      <w:position w:val="6"/>
      <w:sz w:val="28"/>
      <w:szCs w:val="28"/>
    </w:rPr>
  </w:style>
  <w:style w:type="paragraph" w:customStyle="1" w:styleId="156">
    <w:name w:val="样式11"/>
    <w:basedOn w:val="1"/>
    <w:qFormat/>
    <w:uiPriority w:val="0"/>
    <w:pPr>
      <w:widowControl/>
      <w:numPr>
        <w:ilvl w:val="2"/>
        <w:numId w:val="1"/>
      </w:numPr>
      <w:tabs>
        <w:tab w:val="left" w:pos="425"/>
      </w:tabs>
      <w:spacing w:before="40" w:after="40" w:line="264" w:lineRule="auto"/>
      <w:outlineLvl w:val="2"/>
    </w:pPr>
    <w:rPr>
      <w:rFonts w:ascii="微软雅黑" w:hAnsi="微软雅黑" w:eastAsia="微软雅黑"/>
      <w:kern w:val="0"/>
      <w:sz w:val="24"/>
      <w:szCs w:val="24"/>
    </w:rPr>
  </w:style>
  <w:style w:type="paragraph" w:customStyle="1" w:styleId="157">
    <w:name w:val="msolistparagraph"/>
    <w:basedOn w:val="1"/>
    <w:qFormat/>
    <w:uiPriority w:val="0"/>
    <w:pPr>
      <w:ind w:firstLine="420" w:firstLineChars="200"/>
    </w:pPr>
    <w:rPr>
      <w:rFonts w:ascii="Times New Roman" w:hAnsi="Times New Roman"/>
      <w:szCs w:val="24"/>
    </w:rPr>
  </w:style>
  <w:style w:type="character" w:customStyle="1" w:styleId="158">
    <w:name w:val="标题 2 Char1"/>
    <w:qFormat/>
    <w:uiPriority w:val="0"/>
    <w:rPr>
      <w:rFonts w:ascii="宋体" w:hAnsi="宋体" w:eastAsia="宋体" w:cs="Arial"/>
      <w:b/>
      <w:sz w:val="24"/>
      <w:szCs w:val="24"/>
      <w:lang w:val="en-US" w:eastAsia="zh-CN" w:bidi="ar-SA"/>
    </w:rPr>
  </w:style>
  <w:style w:type="character" w:customStyle="1" w:styleId="159">
    <w:name w:val="正文首行缩进 Char"/>
    <w:link w:val="53"/>
    <w:qFormat/>
    <w:uiPriority w:val="0"/>
    <w:rPr>
      <w:kern w:val="2"/>
      <w:sz w:val="21"/>
      <w:szCs w:val="24"/>
    </w:rPr>
  </w:style>
  <w:style w:type="character" w:customStyle="1" w:styleId="160">
    <w:name w:val="articlebody3"/>
    <w:qFormat/>
    <w:uiPriority w:val="0"/>
    <w:rPr>
      <w:sz w:val="21"/>
      <w:szCs w:val="21"/>
    </w:rPr>
  </w:style>
  <w:style w:type="character" w:customStyle="1" w:styleId="161">
    <w:name w:val="font81"/>
    <w:basedOn w:val="56"/>
    <w:qFormat/>
    <w:uiPriority w:val="0"/>
    <w:rPr>
      <w:rFonts w:hint="eastAsia" w:ascii="宋体" w:hAnsi="宋体" w:eastAsia="宋体" w:cs="宋体"/>
      <w:color w:val="000000"/>
      <w:sz w:val="16"/>
      <w:szCs w:val="16"/>
      <w:u w:val="none"/>
    </w:rPr>
  </w:style>
  <w:style w:type="character" w:customStyle="1" w:styleId="162">
    <w:name w:val="font101"/>
    <w:basedOn w:val="56"/>
    <w:qFormat/>
    <w:uiPriority w:val="0"/>
    <w:rPr>
      <w:rFonts w:hint="eastAsia" w:ascii="宋体" w:hAnsi="宋体" w:eastAsia="宋体" w:cs="宋体"/>
      <w:color w:val="000000"/>
      <w:sz w:val="16"/>
      <w:szCs w:val="16"/>
      <w:u w:val="none"/>
    </w:rPr>
  </w:style>
  <w:style w:type="character" w:customStyle="1" w:styleId="163">
    <w:name w:val="正文1 Char Char"/>
    <w:basedOn w:val="56"/>
    <w:qFormat/>
    <w:uiPriority w:val="0"/>
    <w:rPr>
      <w:rFonts w:ascii="宋体"/>
      <w:sz w:val="24"/>
    </w:rPr>
  </w:style>
  <w:style w:type="character" w:customStyle="1" w:styleId="164">
    <w:name w:val="tpc_content1"/>
    <w:qFormat/>
    <w:uiPriority w:val="0"/>
    <w:rPr>
      <w:sz w:val="20"/>
      <w:szCs w:val="20"/>
    </w:rPr>
  </w:style>
  <w:style w:type="character" w:customStyle="1" w:styleId="165">
    <w:name w:val="Char Char"/>
    <w:qFormat/>
    <w:locked/>
    <w:uiPriority w:val="0"/>
    <w:rPr>
      <w:rFonts w:ascii="Arial" w:hAnsi="Arial" w:eastAsia="黑体"/>
      <w:b/>
      <w:bCs/>
      <w:kern w:val="2"/>
      <w:sz w:val="32"/>
      <w:szCs w:val="32"/>
      <w:lang w:val="en-US" w:eastAsia="zh-CN" w:bidi="ar-SA"/>
    </w:rPr>
  </w:style>
  <w:style w:type="character" w:customStyle="1" w:styleId="166">
    <w:name w:val="font41"/>
    <w:basedOn w:val="56"/>
    <w:qFormat/>
    <w:uiPriority w:val="0"/>
    <w:rPr>
      <w:rFonts w:hint="eastAsia" w:ascii="宋体" w:hAnsi="宋体" w:eastAsia="宋体" w:cs="宋体"/>
      <w:color w:val="000000"/>
      <w:sz w:val="20"/>
      <w:szCs w:val="20"/>
      <w:u w:val="none"/>
    </w:rPr>
  </w:style>
  <w:style w:type="character" w:customStyle="1" w:styleId="167">
    <w:name w:val="font61"/>
    <w:basedOn w:val="56"/>
    <w:qFormat/>
    <w:uiPriority w:val="0"/>
    <w:rPr>
      <w:rFonts w:hint="default" w:ascii="Times New Roman" w:hAnsi="Times New Roman" w:cs="Times New Roman"/>
      <w:color w:val="000000"/>
      <w:sz w:val="20"/>
      <w:szCs w:val="20"/>
      <w:u w:val="none"/>
    </w:rPr>
  </w:style>
  <w:style w:type="character" w:customStyle="1" w:styleId="168">
    <w:name w:val="font241"/>
    <w:qFormat/>
    <w:uiPriority w:val="0"/>
    <w:rPr>
      <w:sz w:val="21"/>
      <w:szCs w:val="21"/>
    </w:rPr>
  </w:style>
  <w:style w:type="character" w:customStyle="1" w:styleId="169">
    <w:name w:val="font31"/>
    <w:basedOn w:val="56"/>
    <w:qFormat/>
    <w:uiPriority w:val="0"/>
    <w:rPr>
      <w:rFonts w:hint="eastAsia" w:ascii="宋体" w:hAnsi="宋体" w:eastAsia="宋体" w:cs="宋体"/>
      <w:color w:val="000000"/>
      <w:sz w:val="14"/>
      <w:szCs w:val="14"/>
      <w:u w:val="none"/>
    </w:rPr>
  </w:style>
  <w:style w:type="character" w:customStyle="1" w:styleId="170">
    <w:name w:val="font11"/>
    <w:basedOn w:val="56"/>
    <w:qFormat/>
    <w:uiPriority w:val="0"/>
    <w:rPr>
      <w:rFonts w:hint="default" w:ascii="Times New Roman" w:hAnsi="Times New Roman" w:cs="Times New Roman"/>
      <w:color w:val="000000"/>
      <w:sz w:val="20"/>
      <w:szCs w:val="20"/>
      <w:u w:val="none"/>
    </w:rPr>
  </w:style>
  <w:style w:type="paragraph" w:customStyle="1" w:styleId="171">
    <w:name w:val="Char Char Char Char Char Char Char1"/>
    <w:basedOn w:val="1"/>
    <w:qFormat/>
    <w:uiPriority w:val="0"/>
    <w:rPr>
      <w:szCs w:val="24"/>
    </w:rPr>
  </w:style>
  <w:style w:type="paragraph" w:customStyle="1" w:styleId="172">
    <w:name w:val="文献分类号"/>
    <w:qFormat/>
    <w:uiPriority w:val="0"/>
    <w:pPr>
      <w:widowControl w:val="0"/>
      <w:tabs>
        <w:tab w:val="left" w:pos="1440"/>
      </w:tabs>
      <w:textAlignment w:val="center"/>
    </w:pPr>
    <w:rPr>
      <w:rFonts w:ascii="Calibri" w:hAnsi="Calibri" w:eastAsia="黑体" w:cs="Times New Roman"/>
      <w:sz w:val="21"/>
      <w:lang w:val="en-US" w:eastAsia="zh-CN" w:bidi="ar-SA"/>
    </w:rPr>
  </w:style>
  <w:style w:type="character" w:customStyle="1" w:styleId="173">
    <w:name w:val="标题 Char1"/>
    <w:basedOn w:val="56"/>
    <w:qFormat/>
    <w:uiPriority w:val="0"/>
    <w:rPr>
      <w:rFonts w:ascii="Cambria" w:hAnsi="Cambria" w:cs="Times New Roman"/>
      <w:b/>
      <w:bCs/>
      <w:kern w:val="2"/>
      <w:sz w:val="32"/>
      <w:szCs w:val="32"/>
    </w:rPr>
  </w:style>
  <w:style w:type="character" w:customStyle="1" w:styleId="174">
    <w:name w:val="正文首行缩进 Char1"/>
    <w:basedOn w:val="82"/>
    <w:link w:val="53"/>
    <w:qFormat/>
    <w:uiPriority w:val="0"/>
    <w:rPr>
      <w:szCs w:val="22"/>
    </w:rPr>
  </w:style>
  <w:style w:type="paragraph" w:customStyle="1" w:styleId="175">
    <w:name w:val="单位"/>
    <w:basedOn w:val="1"/>
    <w:qFormat/>
    <w:uiPriority w:val="0"/>
    <w:pPr>
      <w:jc w:val="center"/>
      <w:outlineLvl w:val="0"/>
    </w:pPr>
    <w:rPr>
      <w:rFonts w:eastAsia="FangSong_GB2312"/>
      <w:snapToGrid w:val="0"/>
      <w:sz w:val="18"/>
      <w:szCs w:val="20"/>
    </w:rPr>
  </w:style>
  <w:style w:type="paragraph" w:customStyle="1" w:styleId="17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177">
    <w:name w:val="WPSOffice手动目录 1"/>
    <w:qFormat/>
    <w:uiPriority w:val="0"/>
    <w:rPr>
      <w:rFonts w:ascii="Calibri" w:hAnsi="Calibri" w:eastAsia="宋体" w:cs="Times New Roman"/>
      <w:lang w:val="en-US" w:eastAsia="zh-CN" w:bidi="ar-SA"/>
    </w:rPr>
  </w:style>
  <w:style w:type="paragraph" w:customStyle="1" w:styleId="178">
    <w:name w:val="_Style 76"/>
    <w:qFormat/>
    <w:uiPriority w:val="0"/>
    <w:pPr>
      <w:widowControl w:val="0"/>
      <w:jc w:val="both"/>
    </w:pPr>
    <w:rPr>
      <w:rFonts w:ascii="Calibri" w:hAnsi="Calibri" w:eastAsia="宋体" w:cs="黑体"/>
      <w:kern w:val="2"/>
      <w:sz w:val="21"/>
      <w:szCs w:val="22"/>
      <w:lang w:val="en-US" w:eastAsia="zh-CN" w:bidi="ar-SA"/>
    </w:rPr>
  </w:style>
  <w:style w:type="paragraph" w:customStyle="1" w:styleId="179">
    <w:name w:val="四级无标题条"/>
    <w:basedOn w:val="1"/>
    <w:qFormat/>
    <w:uiPriority w:val="0"/>
    <w:pPr>
      <w:tabs>
        <w:tab w:val="left" w:pos="0"/>
      </w:tabs>
    </w:pPr>
    <w:rPr>
      <w:rFonts w:eastAsia="黑体"/>
      <w:b/>
      <w:szCs w:val="24"/>
    </w:rPr>
  </w:style>
  <w:style w:type="paragraph" w:customStyle="1" w:styleId="180">
    <w:name w:val="附录标识"/>
    <w:basedOn w:val="1"/>
    <w:next w:val="181"/>
    <w:qFormat/>
    <w:uiPriority w:val="0"/>
    <w:pPr>
      <w:widowControl/>
      <w:numPr>
        <w:ilvl w:val="2"/>
        <w:numId w:val="2"/>
      </w:numPr>
      <w:shd w:val="clear" w:color="FFFFFF" w:fill="FFFFFF"/>
      <w:tabs>
        <w:tab w:val="left" w:pos="4352"/>
      </w:tabs>
      <w:spacing w:before="640" w:after="200"/>
      <w:ind w:left="4352"/>
      <w:outlineLvl w:val="0"/>
    </w:pPr>
    <w:rPr>
      <w:rFonts w:ascii="黑体" w:eastAsia="黑体"/>
      <w:b/>
      <w:kern w:val="0"/>
      <w:szCs w:val="20"/>
    </w:rPr>
  </w:style>
  <w:style w:type="paragraph" w:customStyle="1" w:styleId="181">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18"/>
      <w:szCs w:val="18"/>
    </w:rPr>
  </w:style>
  <w:style w:type="paragraph" w:customStyle="1" w:styleId="183">
    <w:name w:val="封面标准文稿编辑信息 Char"/>
    <w:qFormat/>
    <w:uiPriority w:val="0"/>
    <w:pPr>
      <w:spacing w:before="180" w:line="180" w:lineRule="exact"/>
      <w:jc w:val="center"/>
    </w:pPr>
    <w:rPr>
      <w:rFonts w:ascii="宋体" w:hAnsi="Calibri" w:eastAsia="宋体" w:cs="Times New Roman"/>
      <w:sz w:val="21"/>
      <w:lang w:val="en-US" w:eastAsia="zh-CN" w:bidi="ar-SA"/>
    </w:rPr>
  </w:style>
  <w:style w:type="paragraph" w:customStyle="1" w:styleId="184">
    <w:name w:val="列项——"/>
    <w:qFormat/>
    <w:uiPriority w:val="0"/>
    <w:pPr>
      <w:widowControl w:val="0"/>
      <w:tabs>
        <w:tab w:val="left" w:pos="854"/>
      </w:tabs>
      <w:ind w:left="400" w:leftChars="200" w:hanging="200" w:hangingChars="200"/>
      <w:jc w:val="both"/>
    </w:pPr>
    <w:rPr>
      <w:rFonts w:ascii="宋体" w:hAnsi="Calibri" w:eastAsia="宋体" w:cs="Times New Roman"/>
      <w:sz w:val="21"/>
      <w:lang w:val="en-US" w:eastAsia="zh-CN" w:bidi="ar-SA"/>
    </w:rPr>
  </w:style>
  <w:style w:type="paragraph" w:customStyle="1" w:styleId="18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7">
    <w:name w:val="样式7"/>
    <w:basedOn w:val="37"/>
    <w:qFormat/>
    <w:uiPriority w:val="0"/>
    <w:pPr>
      <w:pBdr>
        <w:bottom w:val="thinThickSmallGap" w:color="auto" w:sz="24" w:space="1"/>
      </w:pBdr>
      <w:adjustRightInd w:val="0"/>
      <w:textAlignment w:val="baseline"/>
    </w:pPr>
    <w:rPr>
      <w:rFonts w:ascii="宋体"/>
      <w:kern w:val="0"/>
      <w:szCs w:val="20"/>
    </w:rPr>
  </w:style>
  <w:style w:type="paragraph" w:customStyle="1" w:styleId="188">
    <w:name w:val="1 Char Char Char Char Char Char"/>
    <w:basedOn w:val="1"/>
    <w:qFormat/>
    <w:uiPriority w:val="0"/>
    <w:rPr>
      <w:szCs w:val="24"/>
    </w:rPr>
  </w:style>
  <w:style w:type="paragraph" w:customStyle="1" w:styleId="189">
    <w:name w:val="xl44"/>
    <w:basedOn w:val="1"/>
    <w:qFormat/>
    <w:uiPriority w:val="0"/>
    <w:pPr>
      <w:widowControl/>
      <w:pBdr>
        <w:bottom w:val="single" w:color="auto" w:sz="4" w:space="0"/>
      </w:pBdr>
      <w:spacing w:before="100" w:beforeAutospacing="1" w:after="100" w:afterAutospacing="1"/>
      <w:jc w:val="left"/>
    </w:pPr>
    <w:rPr>
      <w:rFonts w:ascii="宋体" w:hAnsi="宋体" w:cs="宋体"/>
      <w:b/>
      <w:bCs/>
      <w:color w:val="000000"/>
      <w:kern w:val="0"/>
      <w:sz w:val="24"/>
      <w:szCs w:val="24"/>
    </w:rPr>
  </w:style>
  <w:style w:type="paragraph" w:customStyle="1" w:styleId="19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91">
    <w:name w:val="样式6"/>
    <w:basedOn w:val="1"/>
    <w:qFormat/>
    <w:uiPriority w:val="0"/>
    <w:pPr>
      <w:pBdr>
        <w:top w:val="single" w:color="auto" w:sz="4" w:space="1"/>
        <w:bottom w:val="single" w:color="auto" w:sz="4" w:space="1"/>
      </w:pBdr>
      <w:adjustRightInd w:val="0"/>
      <w:spacing w:line="360" w:lineRule="auto"/>
      <w:ind w:right="-272"/>
      <w:jc w:val="center"/>
      <w:textAlignment w:val="baseline"/>
    </w:pPr>
    <w:rPr>
      <w:rFonts w:ascii="Albertus Medium" w:hAnsi="Albertus Medium"/>
      <w:b/>
      <w:kern w:val="0"/>
      <w:sz w:val="72"/>
      <w:szCs w:val="20"/>
    </w:rPr>
  </w:style>
  <w:style w:type="paragraph" w:customStyle="1" w:styleId="192">
    <w:name w:val="样式8"/>
    <w:basedOn w:val="1"/>
    <w:qFormat/>
    <w:uiPriority w:val="0"/>
    <w:pPr>
      <w:adjustRightInd w:val="0"/>
      <w:snapToGrid w:val="0"/>
      <w:spacing w:line="460" w:lineRule="atLeast"/>
      <w:ind w:firstLine="200" w:firstLineChars="200"/>
    </w:pPr>
    <w:rPr>
      <w:rFonts w:ascii="宋体" w:hAnsi="宋体"/>
      <w:snapToGrid w:val="0"/>
      <w:kern w:val="0"/>
      <w:sz w:val="24"/>
      <w:szCs w:val="24"/>
    </w:rPr>
  </w:style>
  <w:style w:type="paragraph" w:customStyle="1" w:styleId="193">
    <w:name w:val="标准书眉_偶数页"/>
    <w:basedOn w:val="1"/>
    <w:next w:val="1"/>
    <w:qFormat/>
    <w:uiPriority w:val="0"/>
    <w:pPr>
      <w:widowControl/>
      <w:tabs>
        <w:tab w:val="center" w:pos="4154"/>
        <w:tab w:val="right" w:pos="8306"/>
      </w:tabs>
      <w:spacing w:after="120"/>
      <w:jc w:val="left"/>
    </w:pPr>
    <w:rPr>
      <w:kern w:val="0"/>
      <w:szCs w:val="20"/>
    </w:rPr>
  </w:style>
  <w:style w:type="paragraph" w:customStyle="1" w:styleId="194">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95">
    <w:name w:val="标准书脚_偶数页"/>
    <w:qFormat/>
    <w:uiPriority w:val="0"/>
    <w:pPr>
      <w:spacing w:before="120"/>
    </w:pPr>
    <w:rPr>
      <w:rFonts w:ascii="Calibri" w:hAnsi="Calibri" w:eastAsia="宋体" w:cs="Times New Roman"/>
      <w:sz w:val="18"/>
      <w:lang w:val="en-US" w:eastAsia="zh-CN" w:bidi="ar-SA"/>
    </w:rPr>
  </w:style>
  <w:style w:type="paragraph" w:customStyle="1" w:styleId="196">
    <w:name w:val="四级条标题"/>
    <w:basedOn w:val="197"/>
    <w:next w:val="181"/>
    <w:qFormat/>
    <w:uiPriority w:val="0"/>
    <w:pPr>
      <w:tabs>
        <w:tab w:val="left" w:pos="945"/>
        <w:tab w:val="left" w:pos="1002"/>
        <w:tab w:val="left" w:pos="1021"/>
        <w:tab w:val="left" w:pos="1155"/>
        <w:tab w:val="left" w:pos="2100"/>
      </w:tabs>
      <w:outlineLvl w:val="5"/>
    </w:pPr>
  </w:style>
  <w:style w:type="paragraph" w:customStyle="1" w:styleId="197">
    <w:name w:val="三级条标题"/>
    <w:basedOn w:val="153"/>
    <w:next w:val="181"/>
    <w:qFormat/>
    <w:uiPriority w:val="0"/>
    <w:pPr>
      <w:tabs>
        <w:tab w:val="left" w:pos="945"/>
        <w:tab w:val="left" w:pos="1002"/>
        <w:tab w:val="left" w:pos="2100"/>
      </w:tabs>
      <w:ind w:left="2100" w:hanging="420"/>
      <w:jc w:val="both"/>
      <w:outlineLvl w:val="4"/>
    </w:pPr>
    <w:rPr>
      <w:rFonts w:hAnsi="Calibri"/>
      <w:b/>
      <w:sz w:val="21"/>
    </w:rPr>
  </w:style>
  <w:style w:type="paragraph" w:customStyle="1" w:styleId="19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19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01">
    <w:name w:val="五级条标题"/>
    <w:basedOn w:val="196"/>
    <w:next w:val="181"/>
    <w:qFormat/>
    <w:uiPriority w:val="0"/>
    <w:pPr>
      <w:tabs>
        <w:tab w:val="left" w:pos="1407"/>
        <w:tab w:val="left" w:pos="1440"/>
        <w:tab w:val="clear" w:pos="1021"/>
        <w:tab w:val="clear" w:pos="1155"/>
      </w:tabs>
      <w:outlineLvl w:val="6"/>
    </w:pPr>
  </w:style>
  <w:style w:type="paragraph" w:customStyle="1" w:styleId="202">
    <w:name w:val="标准书脚_奇数页"/>
    <w:qFormat/>
    <w:uiPriority w:val="0"/>
    <w:pPr>
      <w:spacing w:before="120"/>
      <w:jc w:val="right"/>
    </w:pPr>
    <w:rPr>
      <w:rFonts w:ascii="Calibri" w:hAnsi="Calibri" w:eastAsia="宋体" w:cs="Times New Roman"/>
      <w:sz w:val="18"/>
      <w:lang w:val="en-US" w:eastAsia="zh-CN" w:bidi="ar-SA"/>
    </w:rPr>
  </w:style>
  <w:style w:type="paragraph" w:customStyle="1" w:styleId="20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204">
    <w:name w:val="三级无标题条"/>
    <w:basedOn w:val="1"/>
    <w:qFormat/>
    <w:uiPriority w:val="0"/>
    <w:pPr>
      <w:tabs>
        <w:tab w:val="left" w:pos="0"/>
      </w:tabs>
    </w:pPr>
    <w:rPr>
      <w:b/>
      <w:szCs w:val="24"/>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06">
    <w:name w:val="附录四级条标题"/>
    <w:basedOn w:val="207"/>
    <w:next w:val="181"/>
    <w:qFormat/>
    <w:uiPriority w:val="0"/>
    <w:pPr>
      <w:tabs>
        <w:tab w:val="left" w:pos="0"/>
      </w:tabs>
      <w:outlineLvl w:val="5"/>
    </w:pPr>
  </w:style>
  <w:style w:type="paragraph" w:customStyle="1" w:styleId="207">
    <w:name w:val="附录三级条标题"/>
    <w:basedOn w:val="208"/>
    <w:next w:val="181"/>
    <w:qFormat/>
    <w:uiPriority w:val="0"/>
    <w:pPr>
      <w:tabs>
        <w:tab w:val="left" w:pos="0"/>
      </w:tabs>
      <w:outlineLvl w:val="4"/>
    </w:pPr>
  </w:style>
  <w:style w:type="paragraph" w:customStyle="1" w:styleId="208">
    <w:name w:val="附录二级条标题"/>
    <w:basedOn w:val="209"/>
    <w:next w:val="181"/>
    <w:qFormat/>
    <w:uiPriority w:val="0"/>
    <w:pPr>
      <w:tabs>
        <w:tab w:val="left" w:pos="0"/>
      </w:tabs>
      <w:outlineLvl w:val="3"/>
    </w:pPr>
  </w:style>
  <w:style w:type="paragraph" w:customStyle="1" w:styleId="209">
    <w:name w:val="附录一级条标题"/>
    <w:basedOn w:val="210"/>
    <w:next w:val="181"/>
    <w:qFormat/>
    <w:uiPriority w:val="0"/>
    <w:pPr>
      <w:tabs>
        <w:tab w:val="left" w:pos="0"/>
      </w:tabs>
      <w:autoSpaceDN w:val="0"/>
      <w:spacing w:beforeLines="0" w:afterLines="0"/>
      <w:outlineLvl w:val="2"/>
    </w:pPr>
  </w:style>
  <w:style w:type="paragraph" w:customStyle="1" w:styleId="210">
    <w:name w:val="附录章标题"/>
    <w:next w:val="181"/>
    <w:qFormat/>
    <w:uiPriority w:val="0"/>
    <w:pPr>
      <w:tabs>
        <w:tab w:val="left" w:pos="0"/>
      </w:tabs>
      <w:wordWrap w:val="0"/>
      <w:overflowPunct w:val="0"/>
      <w:autoSpaceDE w:val="0"/>
      <w:spacing w:beforeLines="50" w:afterLines="50"/>
      <w:jc w:val="both"/>
      <w:textAlignment w:val="baseline"/>
      <w:outlineLvl w:val="1"/>
    </w:pPr>
    <w:rPr>
      <w:rFonts w:ascii="黑体" w:hAnsi="Calibri" w:eastAsia="黑体" w:cs="Times New Roman"/>
      <w:b/>
      <w:kern w:val="21"/>
      <w:sz w:val="21"/>
      <w:lang w:val="en-US" w:eastAsia="zh-CN" w:bidi="ar-SA"/>
    </w:rPr>
  </w:style>
  <w:style w:type="paragraph" w:customStyle="1" w:styleId="211">
    <w:name w:val="xl23"/>
    <w:basedOn w:val="1"/>
    <w:qFormat/>
    <w:uiPriority w:val="0"/>
    <w:pPr>
      <w:widowControl/>
      <w:pBdr>
        <w:bottom w:val="single" w:color="auto" w:sz="4" w:space="0"/>
        <w:right w:val="single" w:color="auto" w:sz="4" w:space="0"/>
      </w:pBdr>
      <w:spacing w:before="100" w:beforeAutospacing="1" w:after="100" w:afterAutospacing="1"/>
    </w:pPr>
    <w:rPr>
      <w:kern w:val="0"/>
      <w:szCs w:val="21"/>
    </w:rPr>
  </w:style>
  <w:style w:type="paragraph" w:customStyle="1" w:styleId="212">
    <w:name w:val="正文图标题"/>
    <w:next w:val="181"/>
    <w:qFormat/>
    <w:uiPriority w:val="0"/>
    <w:pPr>
      <w:numPr>
        <w:ilvl w:val="0"/>
        <w:numId w:val="3"/>
      </w:numPr>
      <w:jc w:val="center"/>
    </w:pPr>
    <w:rPr>
      <w:rFonts w:ascii="黑体" w:hAnsi="Calibri" w:eastAsia="黑体" w:cs="Times New Roman"/>
      <w:sz w:val="21"/>
      <w:lang w:val="en-US" w:eastAsia="zh-CN" w:bidi="ar-SA"/>
    </w:rPr>
  </w:style>
  <w:style w:type="paragraph" w:customStyle="1" w:styleId="2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14">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15">
    <w:name w:val="纯文本1"/>
    <w:basedOn w:val="1"/>
    <w:qFormat/>
    <w:uiPriority w:val="0"/>
    <w:pPr>
      <w:adjustRightInd w:val="0"/>
      <w:textAlignment w:val="baseline"/>
    </w:pPr>
    <w:rPr>
      <w:rFonts w:ascii="宋体"/>
      <w:kern w:val="0"/>
      <w:sz w:val="24"/>
      <w:szCs w:val="20"/>
    </w:rPr>
  </w:style>
  <w:style w:type="paragraph" w:customStyle="1" w:styleId="216">
    <w:name w:val="标准书眉_奇数页"/>
    <w:next w:val="1"/>
    <w:qFormat/>
    <w:uiPriority w:val="0"/>
    <w:pPr>
      <w:tabs>
        <w:tab w:val="center" w:pos="4154"/>
        <w:tab w:val="right" w:pos="8306"/>
      </w:tabs>
      <w:spacing w:after="120"/>
      <w:jc w:val="right"/>
    </w:pPr>
    <w:rPr>
      <w:rFonts w:ascii="Calibri" w:hAnsi="Calibri" w:eastAsia="宋体" w:cs="Times New Roman"/>
      <w:sz w:val="21"/>
      <w:lang w:val="en-US" w:eastAsia="zh-CN" w:bidi="ar-SA"/>
    </w:rPr>
  </w:style>
  <w:style w:type="paragraph" w:customStyle="1" w:styleId="21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8">
    <w:name w:val="目录"/>
    <w:basedOn w:val="1"/>
    <w:qFormat/>
    <w:uiPriority w:val="0"/>
    <w:pPr>
      <w:tabs>
        <w:tab w:val="right" w:leader="middleDot" w:pos="9412"/>
      </w:tabs>
    </w:pPr>
    <w:rPr>
      <w:kern w:val="21"/>
      <w:szCs w:val="20"/>
    </w:rPr>
  </w:style>
  <w:style w:type="paragraph" w:customStyle="1" w:styleId="219">
    <w:name w:val="样式3"/>
    <w:basedOn w:val="1"/>
    <w:qFormat/>
    <w:uiPriority w:val="0"/>
    <w:pPr>
      <w:pBdr>
        <w:bottom w:val="single" w:color="auto" w:sz="4" w:space="1"/>
      </w:pBdr>
      <w:adjustRightInd w:val="0"/>
      <w:ind w:right="-275"/>
      <w:textAlignment w:val="baseline"/>
    </w:pPr>
    <w:rPr>
      <w:rFonts w:ascii="昆仑楷体" w:eastAsia="昆仑楷体"/>
      <w:kern w:val="0"/>
      <w:sz w:val="30"/>
      <w:szCs w:val="20"/>
    </w:rPr>
  </w:style>
  <w:style w:type="paragraph" w:customStyle="1" w:styleId="22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1">
    <w:name w:val="style13"/>
    <w:basedOn w:val="1"/>
    <w:qFormat/>
    <w:uiPriority w:val="0"/>
    <w:pPr>
      <w:widowControl/>
      <w:spacing w:before="100" w:beforeAutospacing="1" w:after="100" w:afterAutospacing="1"/>
      <w:jc w:val="left"/>
    </w:pPr>
    <w:rPr>
      <w:rFonts w:ascii="宋体" w:cs="宋体"/>
      <w:kern w:val="0"/>
      <w:sz w:val="16"/>
      <w:szCs w:val="16"/>
    </w:rPr>
  </w:style>
  <w:style w:type="paragraph" w:customStyle="1" w:styleId="222">
    <w:name w:val="Normal3"/>
    <w:basedOn w:val="11"/>
    <w:qFormat/>
    <w:uiPriority w:val="0"/>
    <w:pPr>
      <w:widowControl/>
      <w:spacing w:after="120"/>
      <w:ind w:left="1418" w:firstLine="0" w:firstLineChars="0"/>
    </w:pPr>
    <w:rPr>
      <w:rFonts w:ascii="Calibri" w:hAnsi="Calibri"/>
      <w:kern w:val="0"/>
      <w:sz w:val="24"/>
      <w:szCs w:val="20"/>
    </w:rPr>
  </w:style>
  <w:style w:type="paragraph" w:customStyle="1" w:styleId="22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2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25">
    <w:name w:val="示例"/>
    <w:next w:val="181"/>
    <w:qFormat/>
    <w:uiPriority w:val="0"/>
    <w:pPr>
      <w:tabs>
        <w:tab w:val="left" w:pos="1021"/>
      </w:tabs>
      <w:ind w:left="1021" w:hanging="1021"/>
      <w:jc w:val="both"/>
    </w:pPr>
    <w:rPr>
      <w:rFonts w:ascii="宋体" w:hAnsi="Calibri" w:eastAsia="宋体" w:cs="Times New Roman"/>
      <w:sz w:val="18"/>
      <w:lang w:val="en-US" w:eastAsia="zh-CN" w:bidi="ar-SA"/>
    </w:rPr>
  </w:style>
  <w:style w:type="paragraph" w:customStyle="1" w:styleId="226">
    <w:name w:val="一级条标题"/>
    <w:basedOn w:val="227"/>
    <w:next w:val="181"/>
    <w:qFormat/>
    <w:uiPriority w:val="0"/>
    <w:pPr>
      <w:numPr>
        <w:ilvl w:val="2"/>
      </w:numPr>
      <w:tabs>
        <w:tab w:val="left" w:pos="720"/>
        <w:tab w:val="left" w:pos="1260"/>
      </w:tabs>
      <w:spacing w:beforeLines="0" w:afterLines="0"/>
      <w:outlineLvl w:val="2"/>
    </w:pPr>
  </w:style>
  <w:style w:type="paragraph" w:customStyle="1" w:styleId="227">
    <w:name w:val="章标题"/>
    <w:next w:val="181"/>
    <w:qFormat/>
    <w:uiPriority w:val="0"/>
    <w:pPr>
      <w:numPr>
        <w:ilvl w:val="1"/>
        <w:numId w:val="4"/>
      </w:numPr>
      <w:tabs>
        <w:tab w:val="left" w:pos="720"/>
      </w:tabs>
      <w:spacing w:beforeLines="50" w:afterLines="50"/>
      <w:jc w:val="both"/>
      <w:outlineLvl w:val="1"/>
    </w:pPr>
    <w:rPr>
      <w:rFonts w:ascii="黑体" w:hAnsi="Calibri" w:eastAsia="黑体" w:cs="Times New Roman"/>
      <w:sz w:val="21"/>
      <w:lang w:val="en-US" w:eastAsia="zh-CN" w:bidi="ar-SA"/>
    </w:rPr>
  </w:style>
  <w:style w:type="paragraph" w:customStyle="1" w:styleId="228">
    <w:name w:val="样式5"/>
    <w:basedOn w:val="1"/>
    <w:qFormat/>
    <w:uiPriority w:val="0"/>
    <w:pPr>
      <w:pBdr>
        <w:top w:val="double" w:color="auto" w:sz="4" w:space="1"/>
      </w:pBdr>
      <w:adjustRightInd w:val="0"/>
      <w:ind w:right="-275"/>
      <w:textAlignment w:val="baseline"/>
    </w:pPr>
    <w:rPr>
      <w:rFonts w:ascii="昆仑细圆" w:eastAsia="昆仑细圆"/>
      <w:kern w:val="0"/>
      <w:sz w:val="36"/>
      <w:szCs w:val="20"/>
    </w:rPr>
  </w:style>
  <w:style w:type="paragraph" w:customStyle="1" w:styleId="229">
    <w:name w:val="表头"/>
    <w:basedOn w:val="1"/>
    <w:qFormat/>
    <w:uiPriority w:val="0"/>
    <w:pPr>
      <w:keepNext/>
      <w:keepLines/>
      <w:spacing w:before="120" w:after="60" w:line="312" w:lineRule="exact"/>
      <w:jc w:val="center"/>
    </w:pPr>
    <w:rPr>
      <w:rFonts w:ascii="E-F1" w:hAnsi="E-F1" w:eastAsia="黑体"/>
      <w:kern w:val="21"/>
      <w:szCs w:val="20"/>
    </w:rPr>
  </w:style>
  <w:style w:type="paragraph" w:customStyle="1" w:styleId="2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1">
    <w:name w:val="一级无标题条"/>
    <w:basedOn w:val="1"/>
    <w:qFormat/>
    <w:uiPriority w:val="0"/>
    <w:pPr>
      <w:tabs>
        <w:tab w:val="left" w:pos="0"/>
      </w:tabs>
    </w:pPr>
    <w:rPr>
      <w:b/>
      <w:szCs w:val="24"/>
    </w:rPr>
  </w:style>
  <w:style w:type="paragraph" w:customStyle="1" w:styleId="232">
    <w:name w:val="TOC Heading"/>
    <w:basedOn w:val="6"/>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33">
    <w:name w:val="五级无标题条"/>
    <w:basedOn w:val="1"/>
    <w:qFormat/>
    <w:uiPriority w:val="0"/>
    <w:pPr>
      <w:tabs>
        <w:tab w:val="left" w:pos="0"/>
      </w:tabs>
    </w:pPr>
    <w:rPr>
      <w:rFonts w:eastAsia="黑体"/>
      <w:b/>
      <w:szCs w:val="24"/>
    </w:rPr>
  </w:style>
  <w:style w:type="paragraph" w:customStyle="1" w:styleId="234">
    <w:name w:val="北海分级目录"/>
    <w:basedOn w:val="1"/>
    <w:qFormat/>
    <w:uiPriority w:val="0"/>
    <w:pPr>
      <w:spacing w:line="360" w:lineRule="auto"/>
    </w:pPr>
    <w:rPr>
      <w:rFonts w:ascii="宋体" w:hAnsi="宋体"/>
      <w:sz w:val="24"/>
      <w:szCs w:val="24"/>
    </w:rPr>
  </w:style>
  <w:style w:type="paragraph" w:customStyle="1" w:styleId="235">
    <w:name w:val="附录图标题"/>
    <w:basedOn w:val="1"/>
    <w:next w:val="181"/>
    <w:qFormat/>
    <w:uiPriority w:val="0"/>
    <w:pPr>
      <w:widowControl/>
      <w:tabs>
        <w:tab w:val="left" w:pos="0"/>
        <w:tab w:val="left" w:pos="210"/>
        <w:tab w:val="left" w:pos="420"/>
      </w:tabs>
      <w:spacing w:afterLines="100"/>
      <w:jc w:val="center"/>
    </w:pPr>
    <w:rPr>
      <w:rFonts w:ascii="黑体" w:eastAsia="黑体"/>
      <w:b/>
      <w:color w:val="FF0000"/>
      <w:kern w:val="0"/>
      <w:szCs w:val="20"/>
    </w:rPr>
  </w:style>
  <w:style w:type="paragraph" w:customStyle="1" w:styleId="236">
    <w:name w:val="二级无标题条"/>
    <w:basedOn w:val="1"/>
    <w:qFormat/>
    <w:uiPriority w:val="0"/>
    <w:pPr>
      <w:tabs>
        <w:tab w:val="left" w:pos="0"/>
      </w:tabs>
    </w:pPr>
    <w:rPr>
      <w:b/>
      <w:szCs w:val="24"/>
    </w:rPr>
  </w:style>
  <w:style w:type="paragraph" w:customStyle="1" w:styleId="23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38">
    <w:name w:val="样式9"/>
    <w:basedOn w:val="191"/>
    <w:qFormat/>
    <w:uiPriority w:val="0"/>
    <w:pPr>
      <w:pBdr>
        <w:top w:val="none" w:color="auto" w:sz="0" w:space="0"/>
        <w:bottom w:val="none" w:color="auto" w:sz="0" w:space="0"/>
      </w:pBdr>
      <w:ind w:right="145"/>
    </w:pPr>
  </w:style>
  <w:style w:type="paragraph" w:customStyle="1" w:styleId="239">
    <w:name w:val="表格样式1"/>
    <w:basedOn w:val="1"/>
    <w:qFormat/>
    <w:uiPriority w:val="0"/>
    <w:pPr>
      <w:adjustRightInd w:val="0"/>
      <w:spacing w:line="20" w:lineRule="atLeast"/>
      <w:jc w:val="center"/>
      <w:textAlignment w:val="baseline"/>
    </w:pPr>
    <w:rPr>
      <w:rFonts w:ascii="宋体"/>
      <w:kern w:val="0"/>
      <w:szCs w:val="20"/>
    </w:rPr>
  </w:style>
  <w:style w:type="paragraph" w:customStyle="1" w:styleId="240">
    <w:name w:val="附录表标题续表"/>
    <w:basedOn w:val="1"/>
    <w:next w:val="181"/>
    <w:qFormat/>
    <w:uiPriority w:val="0"/>
    <w:pPr>
      <w:widowControl/>
      <w:tabs>
        <w:tab w:val="left" w:pos="210"/>
        <w:tab w:val="left" w:pos="360"/>
        <w:tab w:val="left" w:pos="420"/>
      </w:tabs>
      <w:jc w:val="center"/>
      <w:textAlignment w:val="baseline"/>
    </w:pPr>
    <w:rPr>
      <w:rFonts w:ascii="宋体"/>
      <w:kern w:val="21"/>
      <w:szCs w:val="20"/>
    </w:rPr>
  </w:style>
  <w:style w:type="paragraph" w:customStyle="1" w:styleId="241">
    <w:name w:val="正文表标题"/>
    <w:next w:val="181"/>
    <w:qFormat/>
    <w:uiPriority w:val="0"/>
    <w:pPr>
      <w:tabs>
        <w:tab w:val="left" w:pos="0"/>
        <w:tab w:val="left" w:pos="420"/>
      </w:tabs>
      <w:jc w:val="center"/>
    </w:pPr>
    <w:rPr>
      <w:rFonts w:ascii="黑体" w:hAnsi="Calibri" w:eastAsia="黑体" w:cs="Times New Roman"/>
      <w:b/>
      <w:sz w:val="21"/>
      <w:lang w:val="en-US" w:eastAsia="zh-CN" w:bidi="ar-SA"/>
    </w:rPr>
  </w:style>
  <w:style w:type="paragraph" w:customStyle="1" w:styleId="242">
    <w:name w:val="纯文本2"/>
    <w:basedOn w:val="1"/>
    <w:qFormat/>
    <w:uiPriority w:val="0"/>
    <w:pPr>
      <w:adjustRightInd w:val="0"/>
      <w:textAlignment w:val="baseline"/>
    </w:pPr>
    <w:rPr>
      <w:rFonts w:ascii="宋体"/>
      <w:kern w:val="0"/>
      <w:sz w:val="24"/>
      <w:szCs w:val="20"/>
    </w:rPr>
  </w:style>
  <w:style w:type="paragraph" w:customStyle="1" w:styleId="243">
    <w:name w:val="xl57"/>
    <w:basedOn w:val="1"/>
    <w:qFormat/>
    <w:uiPriority w:val="0"/>
    <w:pPr>
      <w:widowControl/>
      <w:pBdr>
        <w:left w:val="single" w:color="auto" w:sz="8" w:space="0"/>
        <w:bottom w:val="double" w:color="auto" w:sz="6" w:space="0"/>
      </w:pBdr>
      <w:spacing w:before="100" w:beforeAutospacing="1" w:after="100" w:afterAutospacing="1"/>
      <w:jc w:val="center"/>
      <w:textAlignment w:val="center"/>
    </w:pPr>
    <w:rPr>
      <w:rFonts w:ascii="宋体" w:hAnsi="宋体"/>
      <w:kern w:val="0"/>
      <w:sz w:val="24"/>
      <w:szCs w:val="24"/>
    </w:rPr>
  </w:style>
  <w:style w:type="paragraph" w:customStyle="1" w:styleId="244">
    <w:name w:val="xl22"/>
    <w:basedOn w:val="1"/>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245">
    <w:name w:val="小节"/>
    <w:basedOn w:val="1"/>
    <w:qFormat/>
    <w:uiPriority w:val="0"/>
    <w:rPr>
      <w:rFonts w:ascii="宋体"/>
      <w:b/>
      <w:szCs w:val="24"/>
    </w:rPr>
  </w:style>
  <w:style w:type="paragraph" w:customStyle="1" w:styleId="246">
    <w:name w:val="2 Char"/>
    <w:basedOn w:val="1"/>
    <w:qFormat/>
    <w:uiPriority w:val="0"/>
    <w:rPr>
      <w:szCs w:val="24"/>
    </w:rPr>
  </w:style>
  <w:style w:type="paragraph" w:customStyle="1" w:styleId="247">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248">
    <w:name w:val="附录五级条标题"/>
    <w:basedOn w:val="206"/>
    <w:next w:val="181"/>
    <w:qFormat/>
    <w:uiPriority w:val="0"/>
    <w:pPr>
      <w:outlineLvl w:val="6"/>
    </w:pPr>
  </w:style>
  <w:style w:type="paragraph" w:customStyle="1" w:styleId="24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0">
    <w:name w:val="TOC 标题1"/>
    <w:basedOn w:val="6"/>
    <w:next w:val="1"/>
    <w:unhideWhenUsed/>
    <w:qFormat/>
    <w:uiPriority w:val="39"/>
    <w:pPr>
      <w:widowControl/>
      <w:spacing w:before="0" w:after="0" w:line="276" w:lineRule="auto"/>
      <w:jc w:val="left"/>
      <w:outlineLvl w:val="9"/>
    </w:pPr>
    <w:rPr>
      <w:rFonts w:ascii="Cambria" w:hAnsi="Cambria"/>
      <w:color w:val="365F91"/>
      <w:kern w:val="0"/>
      <w:sz w:val="28"/>
      <w:szCs w:val="28"/>
    </w:rPr>
  </w:style>
  <w:style w:type="paragraph" w:customStyle="1" w:styleId="251">
    <w:name w:val="样式4"/>
    <w:basedOn w:val="1"/>
    <w:qFormat/>
    <w:uiPriority w:val="0"/>
    <w:pPr>
      <w:pBdr>
        <w:top w:val="double" w:color="auto" w:sz="4" w:space="1"/>
      </w:pBdr>
      <w:adjustRightInd w:val="0"/>
      <w:ind w:right="-275"/>
      <w:textAlignment w:val="baseline"/>
    </w:pPr>
    <w:rPr>
      <w:rFonts w:ascii="昆仑细圆" w:eastAsia="昆仑细圆"/>
      <w:kern w:val="0"/>
      <w:sz w:val="36"/>
      <w:szCs w:val="20"/>
    </w:rPr>
  </w:style>
  <w:style w:type="paragraph" w:customStyle="1" w:styleId="2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居中"/>
    <w:basedOn w:val="1"/>
    <w:qFormat/>
    <w:uiPriority w:val="0"/>
    <w:pPr>
      <w:spacing w:line="300" w:lineRule="auto"/>
      <w:jc w:val="center"/>
    </w:pPr>
    <w:rPr>
      <w:szCs w:val="20"/>
    </w:rPr>
  </w:style>
  <w:style w:type="paragraph" w:customStyle="1" w:styleId="25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5">
    <w:name w:val="_Style 11"/>
    <w:basedOn w:val="1"/>
    <w:qFormat/>
    <w:uiPriority w:val="0"/>
    <w:rPr>
      <w:szCs w:val="24"/>
    </w:rPr>
  </w:style>
  <w:style w:type="paragraph" w:customStyle="1" w:styleId="256">
    <w:name w:val="xl33"/>
    <w:basedOn w:val="1"/>
    <w:qFormat/>
    <w:uiPriority w:val="0"/>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paragraph" w:customStyle="1" w:styleId="257">
    <w:name w:val="正文表标题续表"/>
    <w:basedOn w:val="241"/>
    <w:next w:val="181"/>
    <w:qFormat/>
    <w:uiPriority w:val="0"/>
    <w:pPr>
      <w:tabs>
        <w:tab w:val="clear" w:pos="0"/>
      </w:tabs>
    </w:pPr>
    <w:rPr>
      <w:b w:val="0"/>
    </w:rPr>
  </w:style>
  <w:style w:type="paragraph" w:customStyle="1" w:styleId="258">
    <w:name w:val="不缩进"/>
    <w:basedOn w:val="1"/>
    <w:qFormat/>
    <w:uiPriority w:val="0"/>
    <w:pPr>
      <w:tabs>
        <w:tab w:val="left" w:pos="630"/>
      </w:tabs>
      <w:snapToGrid w:val="0"/>
      <w:spacing w:line="360" w:lineRule="auto"/>
      <w:jc w:val="center"/>
    </w:pPr>
    <w:rPr>
      <w:rFonts w:ascii="宋体" w:hAnsi="宋体" w:cs="Arial"/>
      <w:color w:val="000000"/>
      <w:szCs w:val="21"/>
    </w:rPr>
  </w:style>
  <w:style w:type="paragraph" w:customStyle="1" w:styleId="259">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60">
    <w:name w:val="Char1"/>
    <w:basedOn w:val="1"/>
    <w:qFormat/>
    <w:uiPriority w:val="0"/>
    <w:rPr>
      <w:szCs w:val="24"/>
    </w:rPr>
  </w:style>
  <w:style w:type="paragraph" w:customStyle="1" w:styleId="261">
    <w:name w:val="font7"/>
    <w:basedOn w:val="1"/>
    <w:qFormat/>
    <w:uiPriority w:val="0"/>
    <w:pPr>
      <w:widowControl/>
      <w:spacing w:before="100" w:beforeAutospacing="1" w:after="100" w:afterAutospacing="1"/>
      <w:jc w:val="left"/>
    </w:pPr>
    <w:rPr>
      <w:kern w:val="0"/>
      <w:sz w:val="18"/>
      <w:szCs w:val="18"/>
    </w:rPr>
  </w:style>
  <w:style w:type="character" w:customStyle="1" w:styleId="262">
    <w:name w:val="页眉 Char1"/>
    <w:basedOn w:val="56"/>
    <w:qFormat/>
    <w:uiPriority w:val="99"/>
    <w:rPr>
      <w:sz w:val="18"/>
      <w:szCs w:val="18"/>
    </w:rPr>
  </w:style>
  <w:style w:type="character" w:customStyle="1" w:styleId="263">
    <w:name w:val="页脚 Char1"/>
    <w:basedOn w:val="56"/>
    <w:qFormat/>
    <w:uiPriority w:val="99"/>
    <w:rPr>
      <w:sz w:val="18"/>
      <w:szCs w:val="18"/>
    </w:rPr>
  </w:style>
  <w:style w:type="character" w:customStyle="1" w:styleId="264">
    <w:name w:val="正文文本 Char1"/>
    <w:qFormat/>
    <w:uiPriority w:val="0"/>
    <w:rPr>
      <w:rFonts w:ascii="Times New Roman" w:hAnsi="Times New Roman" w:eastAsia="宋体" w:cs="Times New Roman"/>
      <w:szCs w:val="24"/>
    </w:rPr>
  </w:style>
  <w:style w:type="paragraph" w:customStyle="1" w:styleId="265">
    <w:name w:val="标准"/>
    <w:basedOn w:val="1"/>
    <w:qFormat/>
    <w:uiPriority w:val="0"/>
    <w:pPr>
      <w:adjustRightInd w:val="0"/>
      <w:spacing w:line="312" w:lineRule="atLeast"/>
      <w:textAlignment w:val="baseline"/>
    </w:pPr>
    <w:rPr>
      <w:kern w:val="0"/>
      <w:sz w:val="24"/>
      <w:szCs w:val="20"/>
    </w:rPr>
  </w:style>
  <w:style w:type="paragraph" w:customStyle="1" w:styleId="266">
    <w:name w:val="Table Paragraph"/>
    <w:basedOn w:val="1"/>
    <w:qFormat/>
    <w:uiPriority w:val="1"/>
    <w:pPr>
      <w:jc w:val="left"/>
    </w:pPr>
    <w:rPr>
      <w:rFonts w:ascii="宋体" w:hAnsi="宋体" w:cs="宋体"/>
      <w:kern w:val="0"/>
      <w:sz w:val="22"/>
      <w:lang w:eastAsia="en-US"/>
    </w:rPr>
  </w:style>
  <w:style w:type="paragraph" w:customStyle="1" w:styleId="267">
    <w:name w:val="ZLST-02级标题（1.1）"/>
    <w:basedOn w:val="7"/>
    <w:qFormat/>
    <w:uiPriority w:val="0"/>
    <w:pPr>
      <w:numPr>
        <w:ilvl w:val="1"/>
        <w:numId w:val="5"/>
      </w:numPr>
      <w:tabs>
        <w:tab w:val="left" w:pos="851"/>
      </w:tabs>
      <w:spacing w:before="0" w:after="0" w:line="360" w:lineRule="auto"/>
    </w:pPr>
    <w:rPr>
      <w:rFonts w:ascii="黑体" w:hAnsi="黑体" w:eastAsia="黑体"/>
      <w:b w:val="0"/>
      <w:sz w:val="28"/>
      <w:szCs w:val="30"/>
    </w:rPr>
  </w:style>
  <w:style w:type="paragraph" w:customStyle="1" w:styleId="268">
    <w:name w:val="ZLST-03级标题（1.1.1）"/>
    <w:basedOn w:val="8"/>
    <w:qFormat/>
    <w:uiPriority w:val="0"/>
    <w:pPr>
      <w:numPr>
        <w:ilvl w:val="2"/>
        <w:numId w:val="5"/>
      </w:numPr>
      <w:spacing w:before="0" w:after="0" w:line="360" w:lineRule="auto"/>
    </w:pPr>
    <w:rPr>
      <w:rFonts w:ascii="黑体" w:hAnsi="黑体" w:eastAsia="黑体"/>
      <w:b w:val="0"/>
      <w:sz w:val="24"/>
    </w:rPr>
  </w:style>
  <w:style w:type="paragraph" w:customStyle="1" w:styleId="269">
    <w:name w:val="ZLST-04级标题（1.1.1.1）"/>
    <w:basedOn w:val="9"/>
    <w:qFormat/>
    <w:uiPriority w:val="0"/>
    <w:pPr>
      <w:keepNext/>
      <w:keepLines/>
      <w:widowControl/>
      <w:numPr>
        <w:ilvl w:val="3"/>
        <w:numId w:val="5"/>
      </w:numPr>
      <w:autoSpaceDE/>
      <w:autoSpaceDN/>
      <w:snapToGrid w:val="0"/>
      <w:jc w:val="left"/>
      <w:textAlignment w:val="auto"/>
    </w:pPr>
    <w:rPr>
      <w:rFonts w:ascii="黑体" w:hAnsi="黑体" w:eastAsia="黑体"/>
      <w:szCs w:val="28"/>
    </w:rPr>
  </w:style>
  <w:style w:type="paragraph" w:customStyle="1" w:styleId="270">
    <w:name w:val="ZLST-05级标题（1.1.1.1.1）"/>
    <w:basedOn w:val="1"/>
    <w:next w:val="1"/>
    <w:qFormat/>
    <w:uiPriority w:val="0"/>
    <w:pPr>
      <w:keepNext/>
      <w:keepLines/>
      <w:numPr>
        <w:ilvl w:val="4"/>
        <w:numId w:val="5"/>
      </w:numPr>
      <w:tabs>
        <w:tab w:val="left" w:pos="993"/>
        <w:tab w:val="left" w:pos="1276"/>
      </w:tabs>
      <w:adjustRightInd w:val="0"/>
      <w:snapToGrid w:val="0"/>
      <w:spacing w:line="360" w:lineRule="auto"/>
      <w:outlineLvl w:val="4"/>
    </w:pPr>
    <w:rPr>
      <w:rFonts w:ascii="黑体" w:hAnsi="黑体" w:eastAsia="黑体"/>
      <w:bCs/>
      <w:sz w:val="24"/>
      <w:szCs w:val="28"/>
    </w:rPr>
  </w:style>
  <w:style w:type="paragraph" w:customStyle="1" w:styleId="271">
    <w:name w:val="ZLST-01级标题（章1）"/>
    <w:basedOn w:val="1"/>
    <w:link w:val="272"/>
    <w:qFormat/>
    <w:uiPriority w:val="0"/>
    <w:pPr>
      <w:keepNext/>
      <w:keepLines/>
      <w:pageBreakBefore/>
      <w:numPr>
        <w:ilvl w:val="0"/>
        <w:numId w:val="5"/>
      </w:numPr>
      <w:spacing w:before="240" w:after="120" w:line="300" w:lineRule="auto"/>
      <w:jc w:val="left"/>
      <w:outlineLvl w:val="0"/>
    </w:pPr>
    <w:rPr>
      <w:rFonts w:ascii="Times New Roman" w:hAnsi="Times New Roman" w:eastAsia="黑体"/>
      <w:b/>
      <w:bCs/>
      <w:sz w:val="30"/>
      <w:szCs w:val="32"/>
    </w:rPr>
  </w:style>
  <w:style w:type="character" w:customStyle="1" w:styleId="272">
    <w:name w:val="ZLST-01级标题（章1） Char"/>
    <w:link w:val="271"/>
    <w:qFormat/>
    <w:uiPriority w:val="0"/>
    <w:rPr>
      <w:rFonts w:ascii="Times New Roman" w:hAnsi="Times New Roman" w:eastAsia="黑体"/>
      <w:b/>
      <w:bCs/>
      <w:kern w:val="2"/>
      <w:sz w:val="30"/>
      <w:szCs w:val="32"/>
    </w:rPr>
  </w:style>
  <w:style w:type="character" w:customStyle="1" w:styleId="273">
    <w:name w:val="MyText Char"/>
    <w:link w:val="274"/>
    <w:qFormat/>
    <w:uiPriority w:val="0"/>
    <w:rPr>
      <w:rFonts w:ascii="Century Gothic" w:hAnsi="Century Gothic" w:cs="宋体"/>
      <w:kern w:val="2"/>
      <w:sz w:val="28"/>
      <w:szCs w:val="28"/>
    </w:rPr>
  </w:style>
  <w:style w:type="paragraph" w:customStyle="1" w:styleId="274">
    <w:name w:val="MyText"/>
    <w:basedOn w:val="3"/>
    <w:link w:val="273"/>
    <w:qFormat/>
    <w:uiPriority w:val="0"/>
    <w:pPr>
      <w:spacing w:beforeLines="50" w:afterLines="50" w:line="480" w:lineRule="atLeast"/>
      <w:ind w:firstLine="560"/>
      <w:jc w:val="both"/>
    </w:pPr>
    <w:rPr>
      <w:rFonts w:ascii="Century Gothic" w:hAnsi="Century Gothic" w:cs="宋体"/>
      <w:sz w:val="28"/>
      <w:szCs w:val="28"/>
    </w:rPr>
  </w:style>
  <w:style w:type="character" w:customStyle="1" w:styleId="275">
    <w:name w:val="Char Char9"/>
    <w:qFormat/>
    <w:uiPriority w:val="0"/>
    <w:rPr>
      <w:rFonts w:ascii="宋体" w:hAnsi="Courier New"/>
      <w:kern w:val="2"/>
      <w:sz w:val="21"/>
    </w:rPr>
  </w:style>
  <w:style w:type="paragraph" w:customStyle="1" w:styleId="276">
    <w:name w:val="List Paragraph1"/>
    <w:basedOn w:val="1"/>
    <w:qFormat/>
    <w:uiPriority w:val="0"/>
    <w:pPr>
      <w:ind w:firstLine="420" w:firstLineChars="200"/>
    </w:pPr>
  </w:style>
  <w:style w:type="paragraph" w:customStyle="1" w:styleId="277">
    <w:name w:val="默认段落字体 Para Char Char Char Char Char Char Char + 宋体"/>
    <w:basedOn w:val="1"/>
    <w:qFormat/>
    <w:uiPriority w:val="0"/>
    <w:rPr>
      <w:rFonts w:ascii="宋体" w:hAnsi="宋体"/>
      <w:bCs/>
      <w:kern w:val="10"/>
      <w:sz w:val="24"/>
      <w:szCs w:val="20"/>
    </w:rPr>
  </w:style>
  <w:style w:type="paragraph" w:customStyle="1" w:styleId="278">
    <w:name w:val="简单回函地址"/>
    <w:basedOn w:val="1"/>
    <w:qFormat/>
    <w:uiPriority w:val="0"/>
    <w:rPr>
      <w:rFonts w:ascii="Times New Roman" w:hAnsi="Times New Roman"/>
      <w:spacing w:val="-2"/>
      <w:position w:val="-2"/>
      <w:szCs w:val="21"/>
    </w:rPr>
  </w:style>
  <w:style w:type="paragraph" w:customStyle="1" w:styleId="279">
    <w:name w:val="xl56"/>
    <w:basedOn w:val="1"/>
    <w:qFormat/>
    <w:uiPriority w:val="0"/>
    <w:pPr>
      <w:widowControl/>
      <w:spacing w:before="100" w:beforeAutospacing="1" w:after="100" w:afterAutospacing="1"/>
      <w:jc w:val="center"/>
    </w:pPr>
    <w:rPr>
      <w:rFonts w:ascii="Arial Unicode MS" w:hAnsi="Arial Unicode MS"/>
      <w:b/>
      <w:bCs/>
      <w:kern w:val="0"/>
      <w:sz w:val="24"/>
      <w:szCs w:val="24"/>
    </w:rPr>
  </w:style>
  <w:style w:type="paragraph" w:customStyle="1" w:styleId="280">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szCs w:val="20"/>
    </w:rPr>
  </w:style>
  <w:style w:type="paragraph" w:customStyle="1" w:styleId="281">
    <w:name w:val="Absatz2AL"/>
    <w:basedOn w:val="25"/>
    <w:next w:val="1"/>
    <w:qFormat/>
    <w:uiPriority w:val="0"/>
    <w:pPr>
      <w:widowControl/>
      <w:overflowPunct w:val="0"/>
      <w:autoSpaceDE w:val="0"/>
      <w:autoSpaceDN w:val="0"/>
      <w:adjustRightInd w:val="0"/>
      <w:spacing w:after="0"/>
      <w:textAlignment w:val="baseline"/>
    </w:pPr>
    <w:rPr>
      <w:rFonts w:eastAsia="楷体_GB2312"/>
      <w:kern w:val="0"/>
      <w:sz w:val="24"/>
      <w:szCs w:val="20"/>
    </w:rPr>
  </w:style>
  <w:style w:type="paragraph" w:customStyle="1" w:styleId="282">
    <w:name w:val="xl24"/>
    <w:basedOn w:val="1"/>
    <w:qFormat/>
    <w:uiPriority w:val="0"/>
    <w:pPr>
      <w:widowControl/>
      <w:spacing w:before="100" w:beforeAutospacing="1" w:after="100" w:afterAutospacing="1"/>
      <w:jc w:val="center"/>
    </w:pPr>
    <w:rPr>
      <w:rFonts w:ascii="Arial Unicode MS" w:hAnsi="Arial Unicode MS"/>
      <w:kern w:val="0"/>
      <w:sz w:val="24"/>
      <w:szCs w:val="24"/>
    </w:rPr>
  </w:style>
  <w:style w:type="paragraph" w:customStyle="1" w:styleId="283">
    <w:name w:val="樣式 Tahoma 9 點 行距:  固定行高 12 pt"/>
    <w:basedOn w:val="1"/>
    <w:qFormat/>
    <w:uiPriority w:val="0"/>
    <w:pPr>
      <w:spacing w:line="360" w:lineRule="auto"/>
      <w:ind w:firstLine="600" w:firstLineChars="250"/>
      <w:jc w:val="left"/>
    </w:pPr>
    <w:rPr>
      <w:rFonts w:ascii="宋体" w:hAnsi="宋体" w:cs="Arial"/>
      <w:sz w:val="24"/>
      <w:szCs w:val="24"/>
    </w:rPr>
  </w:style>
  <w:style w:type="paragraph" w:customStyle="1" w:styleId="284">
    <w:name w:val="Body"/>
    <w:qFormat/>
    <w:uiPriority w:val="0"/>
    <w:pPr>
      <w:spacing w:after="120"/>
      <w:ind w:left="1418"/>
    </w:pPr>
    <w:rPr>
      <w:rFonts w:ascii="Arial" w:hAnsi="Arial" w:eastAsia="宋体" w:cs="Times New Roman"/>
      <w:sz w:val="22"/>
      <w:lang w:val="en-US" w:eastAsia="en-US" w:bidi="ar-SA"/>
    </w:rPr>
  </w:style>
  <w:style w:type="character" w:customStyle="1" w:styleId="285">
    <w:name w:val="Plain Text Char"/>
    <w:qFormat/>
    <w:locked/>
    <w:uiPriority w:val="0"/>
    <w:rPr>
      <w:rFonts w:ascii="宋体" w:hAnsi="Courier New"/>
      <w:kern w:val="2"/>
      <w:sz w:val="21"/>
    </w:rPr>
  </w:style>
  <w:style w:type="character" w:customStyle="1" w:styleId="286">
    <w:name w:val="Plain Text Char2"/>
    <w:basedOn w:val="56"/>
    <w:qFormat/>
    <w:locked/>
    <w:uiPriority w:val="0"/>
    <w:rPr>
      <w:rFonts w:ascii="宋体" w:hAnsi="Courier New" w:cs="Courier New"/>
      <w:kern w:val="2"/>
      <w:sz w:val="21"/>
      <w:szCs w:val="21"/>
    </w:rPr>
  </w:style>
  <w:style w:type="character" w:customStyle="1" w:styleId="287">
    <w:name w:val="样式 小四 黑色"/>
    <w:basedOn w:val="56"/>
    <w:qFormat/>
    <w:uiPriority w:val="0"/>
    <w:rPr>
      <w:rFonts w:eastAsia="Times New Roman" w:cs="Times New Roman"/>
      <w:color w:val="000000"/>
      <w:sz w:val="21"/>
    </w:rPr>
  </w:style>
  <w:style w:type="paragraph" w:customStyle="1" w:styleId="288">
    <w:name w:val="列出段落2"/>
    <w:basedOn w:val="1"/>
    <w:qFormat/>
    <w:uiPriority w:val="34"/>
    <w:pPr>
      <w:ind w:firstLine="420" w:firstLineChars="200"/>
    </w:pPr>
    <w:rPr>
      <w:rFonts w:ascii="Times New Roman" w:hAnsi="Times New Roman"/>
      <w:szCs w:val="24"/>
    </w:rPr>
  </w:style>
  <w:style w:type="paragraph" w:customStyle="1" w:styleId="289">
    <w:name w:val="样式"/>
    <w:qFormat/>
    <w:uiPriority w:val="99"/>
    <w:pPr>
      <w:widowControl w:val="0"/>
      <w:autoSpaceDE w:val="0"/>
      <w:autoSpaceDN w:val="0"/>
      <w:adjustRightInd w:val="0"/>
    </w:pPr>
    <w:rPr>
      <w:rFonts w:ascii="Tahoma" w:hAnsi="Tahoma" w:eastAsia="宋体" w:cs="Tahoma"/>
      <w:sz w:val="24"/>
      <w:szCs w:val="24"/>
      <w:lang w:val="en-US" w:eastAsia="zh-CN" w:bidi="ar-SA"/>
    </w:rPr>
  </w:style>
  <w:style w:type="paragraph" w:customStyle="1" w:styleId="290">
    <w:name w:val="标题3"/>
    <w:basedOn w:val="8"/>
    <w:next w:val="8"/>
    <w:qFormat/>
    <w:uiPriority w:val="0"/>
    <w:pPr>
      <w:spacing w:beforeLines="10" w:afterLines="10" w:line="460" w:lineRule="exact"/>
      <w:ind w:left="100" w:leftChars="100" w:right="100" w:rightChars="100"/>
      <w:jc w:val="left"/>
    </w:pPr>
    <w:rPr>
      <w:rFonts w:ascii="宋体" w:hAnsi="宋体"/>
      <w:sz w:val="24"/>
      <w:szCs w:val="21"/>
    </w:rPr>
  </w:style>
  <w:style w:type="paragraph" w:customStyle="1" w:styleId="291">
    <w:name w:val="纯文本3"/>
    <w:basedOn w:val="1"/>
    <w:qFormat/>
    <w:uiPriority w:val="0"/>
    <w:rPr>
      <w:rFonts w:ascii="宋体" w:hAnsi="Courier New"/>
      <w:szCs w:val="24"/>
    </w:rPr>
  </w:style>
  <w:style w:type="paragraph" w:customStyle="1" w:styleId="292">
    <w:name w:val="*正文"/>
    <w:basedOn w:val="1"/>
    <w:link w:val="293"/>
    <w:qFormat/>
    <w:uiPriority w:val="0"/>
    <w:pPr>
      <w:spacing w:line="360" w:lineRule="auto"/>
      <w:ind w:firstLine="482"/>
    </w:pPr>
    <w:rPr>
      <w:rFonts w:ascii="宋体" w:hAnsi="宋体"/>
      <w:kern w:val="0"/>
      <w:sz w:val="24"/>
      <w:szCs w:val="20"/>
    </w:rPr>
  </w:style>
  <w:style w:type="character" w:customStyle="1" w:styleId="293">
    <w:name w:val="*正文 Char"/>
    <w:link w:val="292"/>
    <w:qFormat/>
    <w:uiPriority w:val="0"/>
    <w:rPr>
      <w:rFonts w:ascii="宋体" w:hAnsi="宋体"/>
      <w:sz w:val="24"/>
    </w:rPr>
  </w:style>
  <w:style w:type="paragraph" w:customStyle="1" w:styleId="29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标题 21"/>
    <w:basedOn w:val="1"/>
    <w:qFormat/>
    <w:uiPriority w:val="0"/>
    <w:pPr>
      <w:ind w:left="1260" w:hanging="420"/>
    </w:pPr>
    <w:rPr>
      <w:rFonts w:ascii="Times New Roman" w:hAnsi="Times New Roman"/>
      <w:szCs w:val="24"/>
    </w:rPr>
  </w:style>
  <w:style w:type="character" w:customStyle="1" w:styleId="296">
    <w:name w:val="新正文 Char"/>
    <w:link w:val="297"/>
    <w:qFormat/>
    <w:uiPriority w:val="0"/>
    <w:rPr>
      <w:rFonts w:ascii="宋体" w:hAnsi="宋体"/>
      <w:snapToGrid w:val="0"/>
      <w:color w:val="000000"/>
      <w:sz w:val="24"/>
      <w:szCs w:val="24"/>
    </w:rPr>
  </w:style>
  <w:style w:type="paragraph" w:customStyle="1" w:styleId="297">
    <w:name w:val="新正文"/>
    <w:basedOn w:val="1"/>
    <w:next w:val="1"/>
    <w:link w:val="296"/>
    <w:qFormat/>
    <w:uiPriority w:val="0"/>
    <w:pPr>
      <w:adjustRightInd w:val="0"/>
      <w:snapToGrid w:val="0"/>
      <w:spacing w:line="440" w:lineRule="atLeast"/>
      <w:ind w:firstLine="200" w:firstLineChars="200"/>
    </w:pPr>
    <w:rPr>
      <w:rFonts w:ascii="宋体" w:hAnsi="宋体"/>
      <w:snapToGrid w:val="0"/>
      <w:color w:val="000000"/>
      <w:kern w:val="0"/>
      <w:sz w:val="24"/>
      <w:szCs w:val="24"/>
    </w:rPr>
  </w:style>
  <w:style w:type="character" w:customStyle="1" w:styleId="298">
    <w:name w:val="5正文 Char"/>
    <w:link w:val="299"/>
    <w:qFormat/>
    <w:uiPriority w:val="0"/>
    <w:rPr>
      <w:rFonts w:ascii="宋体" w:hAnsi="宋体"/>
      <w:kern w:val="2"/>
      <w:sz w:val="24"/>
      <w:szCs w:val="22"/>
    </w:rPr>
  </w:style>
  <w:style w:type="paragraph" w:customStyle="1" w:styleId="299">
    <w:name w:val="5正文"/>
    <w:basedOn w:val="1"/>
    <w:link w:val="298"/>
    <w:qFormat/>
    <w:uiPriority w:val="0"/>
    <w:pPr>
      <w:spacing w:line="360" w:lineRule="auto"/>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F9ECEA-8395-411B-B2B5-3E68BA35035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4394</Words>
  <Characters>25046</Characters>
  <Lines>208</Lines>
  <Paragraphs>58</Paragraphs>
  <TotalTime>2</TotalTime>
  <ScaleCrop>false</ScaleCrop>
  <LinksUpToDate>false</LinksUpToDate>
  <CharactersWithSpaces>29382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2020-03-10T10:47:00Z</dcterms:created>
  <dc:creator>zbb</dc:creator>
  <cp:lastModifiedBy>钉子</cp:lastModifiedBy>
  <cp:lastPrinted>2020-04-28T07:36:00Z</cp:lastPrinted>
  <dcterms:modified xsi:type="dcterms:W3CDTF">2022-03-04T03:10:03Z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CA113F993D5040DEBDE81A121BFE57B7</vt:lpwstr>
  </property>
</Properties>
</file>